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71C2F" w14:textId="77777777" w:rsidR="00770DAD" w:rsidRPr="00770DAD" w:rsidRDefault="00770DAD" w:rsidP="00825C7B">
      <w:pPr>
        <w:spacing w:before="120" w:after="0" w:line="360" w:lineRule="auto"/>
        <w:rPr>
          <w:rFonts w:ascii="Arial" w:eastAsia="Times New Roman" w:hAnsi="Arial" w:cs="Arial"/>
          <w:b/>
          <w:bCs/>
          <w:sz w:val="28"/>
          <w:szCs w:val="28"/>
          <w:lang w:val="en-GB"/>
        </w:rPr>
      </w:pPr>
      <w:r w:rsidRPr="00770DA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B4135A1" w14:textId="77777777" w:rsidR="00770DAD" w:rsidRPr="00770DAD" w:rsidRDefault="00770DAD" w:rsidP="00825C7B">
      <w:pPr>
        <w:spacing w:before="120" w:after="0" w:line="360" w:lineRule="auto"/>
        <w:rPr>
          <w:rFonts w:ascii="Arial" w:eastAsia="Times New Roman" w:hAnsi="Arial" w:cs="Arial"/>
          <w:b/>
          <w:bCs/>
          <w:sz w:val="28"/>
          <w:szCs w:val="28"/>
          <w:lang w:val="en-GB"/>
        </w:rPr>
      </w:pPr>
      <w:r w:rsidRPr="00770DAD">
        <w:rPr>
          <w:rFonts w:ascii="Arial" w:eastAsia="Times New Roman" w:hAnsi="Arial" w:cs="Arial"/>
          <w:b/>
          <w:bCs/>
          <w:sz w:val="28"/>
          <w:szCs w:val="28"/>
          <w:lang w:val="en-GB"/>
        </w:rPr>
        <w:t>For any corrections, remarks, or suggestions, kindly contact us on translate@lloc.gov.bh</w:t>
      </w:r>
    </w:p>
    <w:p w14:paraId="4FB33362" w14:textId="77777777" w:rsidR="00770DAD" w:rsidRPr="00770DAD" w:rsidRDefault="00770DAD" w:rsidP="00825C7B">
      <w:pPr>
        <w:spacing w:before="120" w:after="0" w:line="360" w:lineRule="auto"/>
        <w:rPr>
          <w:rFonts w:ascii="Arial" w:eastAsia="Times New Roman" w:hAnsi="Arial" w:cs="Arial"/>
          <w:b/>
          <w:bCs/>
          <w:sz w:val="28"/>
          <w:szCs w:val="28"/>
          <w:lang w:val="en-GB"/>
        </w:rPr>
      </w:pPr>
      <w:r w:rsidRPr="00770DAD">
        <w:rPr>
          <w:rFonts w:ascii="Arial" w:eastAsia="Times New Roman" w:hAnsi="Arial" w:cs="Arial"/>
          <w:b/>
          <w:bCs/>
          <w:sz w:val="28"/>
          <w:szCs w:val="28"/>
          <w:lang w:val="en-GB"/>
        </w:rPr>
        <w:t>Published on the website on May 2024</w:t>
      </w:r>
      <w:r w:rsidRPr="00770DAD">
        <w:rPr>
          <w:rFonts w:ascii="Arial" w:eastAsia="Times New Roman" w:hAnsi="Arial" w:cs="Arial"/>
          <w:b/>
          <w:bCs/>
          <w:sz w:val="28"/>
          <w:szCs w:val="28"/>
          <w:lang w:val="en-GB"/>
        </w:rPr>
        <w:br w:type="page"/>
      </w:r>
    </w:p>
    <w:p w14:paraId="28C724E6"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b/>
          <w:bCs/>
          <w:sz w:val="28"/>
          <w:szCs w:val="28"/>
          <w:lang w:val="en-GB"/>
        </w:rPr>
        <w:lastRenderedPageBreak/>
        <w:t>Ministry of Works, Municipalities Affairs and Urban Planning </w:t>
      </w:r>
    </w:p>
    <w:p w14:paraId="7ADF4D6A"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b/>
          <w:bCs/>
          <w:sz w:val="28"/>
          <w:szCs w:val="28"/>
          <w:lang w:val="en-GB"/>
        </w:rPr>
        <w:t>Decision No. (156) of 2020 amending some Provisions of Decision No. (5) of 2010 regarding Some Municipal Fees </w:t>
      </w:r>
    </w:p>
    <w:p w14:paraId="63A9CEBF"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sz w:val="28"/>
          <w:szCs w:val="28"/>
          <w:lang w:val="en-GB"/>
        </w:rPr>
        <w:t>Minister of Works, Municipalities Affairs and Urban Planning: </w:t>
      </w:r>
    </w:p>
    <w:p w14:paraId="046D5D51" w14:textId="589D056B" w:rsidR="00770DAD" w:rsidRPr="00770DAD" w:rsidRDefault="00770DAD" w:rsidP="00825C7B">
      <w:pPr>
        <w:spacing w:before="120" w:after="0" w:line="360" w:lineRule="auto"/>
        <w:rPr>
          <w:rFonts w:ascii="Arial" w:eastAsia="Times New Roman" w:hAnsi="Arial" w:cs="Arial"/>
          <w:sz w:val="28"/>
          <w:szCs w:val="28"/>
          <w:lang w:val="en-GB"/>
        </w:rPr>
      </w:pPr>
    </w:p>
    <w:p w14:paraId="72A19D6D"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sz w:val="28"/>
          <w:szCs w:val="28"/>
          <w:lang w:val="en-GB"/>
        </w:rPr>
        <w:t xml:space="preserve">Having reviewed the Organisation of Buildings Law, promulgated by Legislative Decree No. (13) of 1977, as </w:t>
      </w:r>
      <w:proofErr w:type="gramStart"/>
      <w:r w:rsidRPr="00770DAD">
        <w:rPr>
          <w:rFonts w:ascii="Arial" w:eastAsia="Times New Roman" w:hAnsi="Arial" w:cs="Arial"/>
          <w:sz w:val="28"/>
          <w:szCs w:val="28"/>
          <w:lang w:val="en-GB"/>
        </w:rPr>
        <w:t>amended;</w:t>
      </w:r>
      <w:proofErr w:type="gramEnd"/>
      <w:r w:rsidRPr="00770DAD">
        <w:rPr>
          <w:rFonts w:ascii="Arial" w:eastAsia="Times New Roman" w:hAnsi="Arial" w:cs="Arial"/>
          <w:sz w:val="28"/>
          <w:szCs w:val="28"/>
          <w:lang w:val="en-GB"/>
        </w:rPr>
        <w:t> </w:t>
      </w:r>
    </w:p>
    <w:p w14:paraId="3D2156DC"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sz w:val="28"/>
          <w:szCs w:val="28"/>
          <w:lang w:val="en-GB"/>
        </w:rPr>
        <w:t xml:space="preserve">Municipal Law promulgated by Legislative Decree No. (35) of 2001, as </w:t>
      </w:r>
      <w:proofErr w:type="gramStart"/>
      <w:r w:rsidRPr="00770DAD">
        <w:rPr>
          <w:rFonts w:ascii="Arial" w:eastAsia="Times New Roman" w:hAnsi="Arial" w:cs="Arial"/>
          <w:sz w:val="28"/>
          <w:szCs w:val="28"/>
          <w:lang w:val="en-GB"/>
        </w:rPr>
        <w:t>amended;</w:t>
      </w:r>
      <w:proofErr w:type="gramEnd"/>
      <w:r w:rsidRPr="00770DAD">
        <w:rPr>
          <w:rFonts w:ascii="Arial" w:eastAsia="Times New Roman" w:hAnsi="Arial" w:cs="Arial"/>
          <w:sz w:val="28"/>
          <w:szCs w:val="28"/>
          <w:lang w:val="en-GB"/>
        </w:rPr>
        <w:t> </w:t>
      </w:r>
    </w:p>
    <w:p w14:paraId="430DFDEE"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sz w:val="28"/>
          <w:szCs w:val="28"/>
          <w:lang w:val="en-GB"/>
        </w:rPr>
        <w:t xml:space="preserve">Implementing Regulation of the Municipal Law, promulgated by Decision No. (16) of 2002, as </w:t>
      </w:r>
      <w:proofErr w:type="gramStart"/>
      <w:r w:rsidRPr="00770DAD">
        <w:rPr>
          <w:rFonts w:ascii="Arial" w:eastAsia="Times New Roman" w:hAnsi="Arial" w:cs="Arial"/>
          <w:sz w:val="28"/>
          <w:szCs w:val="28"/>
          <w:lang w:val="en-GB"/>
        </w:rPr>
        <w:t>amended;</w:t>
      </w:r>
      <w:proofErr w:type="gramEnd"/>
      <w:r w:rsidRPr="00770DAD">
        <w:rPr>
          <w:rFonts w:ascii="Arial" w:eastAsia="Times New Roman" w:hAnsi="Arial" w:cs="Arial"/>
          <w:sz w:val="28"/>
          <w:szCs w:val="28"/>
          <w:lang w:val="en-GB"/>
        </w:rPr>
        <w:t> </w:t>
      </w:r>
    </w:p>
    <w:p w14:paraId="0AD35C4B"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sz w:val="28"/>
          <w:szCs w:val="28"/>
          <w:lang w:val="en-GB"/>
        </w:rPr>
        <w:t xml:space="preserve">And Decision No. (5) of 2010 regarding Some Municipal Fees, as amended by Decision No. (30) of </w:t>
      </w:r>
      <w:proofErr w:type="gramStart"/>
      <w:r w:rsidRPr="00770DAD">
        <w:rPr>
          <w:rFonts w:ascii="Arial" w:eastAsia="Times New Roman" w:hAnsi="Arial" w:cs="Arial"/>
          <w:sz w:val="28"/>
          <w:szCs w:val="28"/>
          <w:lang w:val="en-GB"/>
        </w:rPr>
        <w:t>2017;</w:t>
      </w:r>
      <w:proofErr w:type="gramEnd"/>
      <w:r w:rsidRPr="00770DAD">
        <w:rPr>
          <w:rFonts w:ascii="Arial" w:eastAsia="Times New Roman" w:hAnsi="Arial" w:cs="Arial"/>
          <w:sz w:val="28"/>
          <w:szCs w:val="28"/>
          <w:lang w:val="en-GB"/>
        </w:rPr>
        <w:t> </w:t>
      </w:r>
    </w:p>
    <w:p w14:paraId="69887200"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sz w:val="28"/>
          <w:szCs w:val="28"/>
          <w:lang w:val="en-GB"/>
        </w:rPr>
        <w:t>And after the approval of the Council of Ministers, </w:t>
      </w:r>
    </w:p>
    <w:p w14:paraId="328A5227"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b/>
          <w:bCs/>
          <w:sz w:val="28"/>
          <w:szCs w:val="28"/>
          <w:lang w:val="en-GB"/>
        </w:rPr>
        <w:t>Hereby Decides: </w:t>
      </w:r>
    </w:p>
    <w:p w14:paraId="7F7E6813"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b/>
          <w:bCs/>
          <w:sz w:val="28"/>
          <w:szCs w:val="28"/>
          <w:lang w:val="en-GB"/>
        </w:rPr>
        <w:t>Article One </w:t>
      </w:r>
    </w:p>
    <w:p w14:paraId="2F6B8CCD"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sz w:val="28"/>
          <w:szCs w:val="28"/>
          <w:lang w:val="en-GB"/>
        </w:rPr>
        <w:t>A new article numbered (Two bis) shall be added to Decision No. (5) of 2010 regarding Some Municipal Fees, with the following text: </w:t>
      </w:r>
    </w:p>
    <w:p w14:paraId="4C055D87"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sz w:val="28"/>
          <w:szCs w:val="28"/>
          <w:lang w:val="en-GB"/>
        </w:rPr>
        <w:t>"Building and insurance permit fees for the Green Belt and Special Nature (SP) - residential and investment - areas, housing project areas, public service and facilities projects (PS) areas, and investment buildings areas (E), shall be determined based on the fees for building and insurance permits for similar areas, as illustrated in the following Table: </w:t>
      </w:r>
    </w:p>
    <w:tbl>
      <w:tblPr>
        <w:tblStyle w:val="TableGrid"/>
        <w:tblW w:w="0" w:type="auto"/>
        <w:tblInd w:w="0" w:type="dxa"/>
        <w:tblLook w:val="04A0" w:firstRow="1" w:lastRow="0" w:firstColumn="1" w:lastColumn="0" w:noHBand="0" w:noVBand="1"/>
      </w:tblPr>
      <w:tblGrid>
        <w:gridCol w:w="4531"/>
        <w:gridCol w:w="4531"/>
      </w:tblGrid>
      <w:tr w:rsidR="00544A0E" w:rsidRPr="00544A0E" w14:paraId="44A86E26" w14:textId="77777777" w:rsidTr="00544A0E">
        <w:tc>
          <w:tcPr>
            <w:tcW w:w="4531" w:type="dxa"/>
          </w:tcPr>
          <w:p w14:paraId="5DC2D0D5"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b/>
                <w:bCs/>
                <w:sz w:val="28"/>
                <w:szCs w:val="28"/>
                <w:lang w:val="en-GB"/>
              </w:rPr>
              <w:t>Region </w:t>
            </w:r>
          </w:p>
        </w:tc>
        <w:tc>
          <w:tcPr>
            <w:tcW w:w="4531" w:type="dxa"/>
          </w:tcPr>
          <w:p w14:paraId="15D26CE6"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b/>
                <w:bCs/>
                <w:sz w:val="28"/>
                <w:szCs w:val="28"/>
                <w:lang w:val="en-GB"/>
              </w:rPr>
              <w:t>Similar areas segment </w:t>
            </w:r>
          </w:p>
        </w:tc>
      </w:tr>
      <w:tr w:rsidR="00544A0E" w:rsidRPr="00544A0E" w14:paraId="42DF4205" w14:textId="77777777" w:rsidTr="00544A0E">
        <w:tc>
          <w:tcPr>
            <w:tcW w:w="4531" w:type="dxa"/>
          </w:tcPr>
          <w:p w14:paraId="0C96834C"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lastRenderedPageBreak/>
              <w:t>Green Belt areas </w:t>
            </w:r>
          </w:p>
        </w:tc>
        <w:tc>
          <w:tcPr>
            <w:tcW w:w="4531" w:type="dxa"/>
          </w:tcPr>
          <w:p w14:paraId="0537A5C6"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t>Agricultural areas in the third segment </w:t>
            </w:r>
          </w:p>
        </w:tc>
      </w:tr>
      <w:tr w:rsidR="00544A0E" w:rsidRPr="00544A0E" w14:paraId="47D6E6B3" w14:textId="77777777" w:rsidTr="00544A0E">
        <w:tc>
          <w:tcPr>
            <w:tcW w:w="4531" w:type="dxa"/>
          </w:tcPr>
          <w:p w14:paraId="09F4904A"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t>Special Nature (SP) areas (residential) </w:t>
            </w:r>
          </w:p>
        </w:tc>
        <w:tc>
          <w:tcPr>
            <w:tcW w:w="4531" w:type="dxa"/>
          </w:tcPr>
          <w:p w14:paraId="06500B87"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t>Private Residential (Villas) in investment projects </w:t>
            </w:r>
          </w:p>
        </w:tc>
      </w:tr>
      <w:tr w:rsidR="00544A0E" w:rsidRPr="00544A0E" w14:paraId="7B6E44BE" w14:textId="77777777" w:rsidTr="00544A0E">
        <w:tc>
          <w:tcPr>
            <w:tcW w:w="4531" w:type="dxa"/>
          </w:tcPr>
          <w:p w14:paraId="1A5D44C2"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t>Special Nature (SP) areas (investment) </w:t>
            </w:r>
          </w:p>
        </w:tc>
        <w:tc>
          <w:tcPr>
            <w:tcW w:w="4531" w:type="dxa"/>
          </w:tcPr>
          <w:p w14:paraId="07239741"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t>Investment building areas in investment projects </w:t>
            </w:r>
          </w:p>
        </w:tc>
      </w:tr>
      <w:tr w:rsidR="00544A0E" w:rsidRPr="00544A0E" w14:paraId="7284FC2D" w14:textId="77777777" w:rsidTr="00544A0E">
        <w:tc>
          <w:tcPr>
            <w:tcW w:w="4531" w:type="dxa"/>
          </w:tcPr>
          <w:p w14:paraId="50502CB3"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t>Housing Project areas (Housing Units - Residential Buildings) </w:t>
            </w:r>
          </w:p>
        </w:tc>
        <w:tc>
          <w:tcPr>
            <w:tcW w:w="4531" w:type="dxa"/>
          </w:tcPr>
          <w:p w14:paraId="2ECFBCA6"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t>Private Residential (Villas) in the first segment </w:t>
            </w:r>
          </w:p>
        </w:tc>
      </w:tr>
      <w:tr w:rsidR="00544A0E" w:rsidRPr="00544A0E" w14:paraId="156F774E" w14:textId="77777777" w:rsidTr="00544A0E">
        <w:tc>
          <w:tcPr>
            <w:tcW w:w="4531" w:type="dxa"/>
          </w:tcPr>
          <w:p w14:paraId="72CB3C50"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t>Public Service and Facilities Projects (PS) areas </w:t>
            </w:r>
          </w:p>
        </w:tc>
        <w:tc>
          <w:tcPr>
            <w:tcW w:w="4531" w:type="dxa"/>
          </w:tcPr>
          <w:p w14:paraId="79D5AD8A"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t>Service areas in the third segment </w:t>
            </w:r>
          </w:p>
        </w:tc>
      </w:tr>
      <w:tr w:rsidR="00544A0E" w:rsidRPr="00544A0E" w14:paraId="23736EC8" w14:textId="77777777" w:rsidTr="00544A0E">
        <w:tc>
          <w:tcPr>
            <w:tcW w:w="4531" w:type="dxa"/>
          </w:tcPr>
          <w:p w14:paraId="70409BA9"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t>Investment building areas (E) </w:t>
            </w:r>
          </w:p>
        </w:tc>
        <w:tc>
          <w:tcPr>
            <w:tcW w:w="4531" w:type="dxa"/>
          </w:tcPr>
          <w:p w14:paraId="79A0A8AA" w14:textId="77777777" w:rsidR="00544A0E" w:rsidRPr="00544A0E" w:rsidRDefault="00544A0E" w:rsidP="004F3E3D">
            <w:pPr>
              <w:spacing w:before="120" w:after="0" w:line="360" w:lineRule="auto"/>
              <w:rPr>
                <w:rFonts w:ascii="Arial" w:eastAsia="Times New Roman" w:hAnsi="Arial" w:cs="Arial"/>
                <w:sz w:val="28"/>
                <w:szCs w:val="28"/>
                <w:lang w:val="en-GB"/>
              </w:rPr>
            </w:pPr>
            <w:r w:rsidRPr="00544A0E">
              <w:rPr>
                <w:rFonts w:ascii="Arial" w:eastAsia="Times New Roman" w:hAnsi="Arial" w:cs="Arial"/>
                <w:sz w:val="28"/>
                <w:szCs w:val="28"/>
                <w:lang w:val="en-GB"/>
              </w:rPr>
              <w:t>Investment building areas (D) in investment projects </w:t>
            </w:r>
          </w:p>
        </w:tc>
      </w:tr>
    </w:tbl>
    <w:p w14:paraId="2DBDE464"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b/>
          <w:bCs/>
          <w:sz w:val="28"/>
          <w:szCs w:val="28"/>
          <w:lang w:val="en-GB"/>
        </w:rPr>
        <w:t>Article Two </w:t>
      </w:r>
    </w:p>
    <w:p w14:paraId="68EF8FA4"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sz w:val="28"/>
          <w:szCs w:val="28"/>
          <w:lang w:val="en-GB"/>
        </w:rPr>
        <w:t>The Undersecretary of the Ministry for Municipalities affairs and the concerned - each within his jurisdiction - shall implement the provisions of this Decision, and it shall come into force the day following the date of its publication in the Official Gazette. </w:t>
      </w:r>
    </w:p>
    <w:p w14:paraId="49667313"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b/>
          <w:bCs/>
          <w:sz w:val="28"/>
          <w:szCs w:val="28"/>
          <w:lang w:val="en-GB"/>
        </w:rPr>
        <w:t>Minister of Works, Municipalities Affairs and Urban Planning </w:t>
      </w:r>
    </w:p>
    <w:p w14:paraId="7A597A56"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b/>
          <w:bCs/>
          <w:sz w:val="28"/>
          <w:szCs w:val="28"/>
          <w:lang w:val="en-GB"/>
        </w:rPr>
        <w:t>Essam bin Abdullah Khalaf </w:t>
      </w:r>
    </w:p>
    <w:p w14:paraId="55B73EA9"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b/>
          <w:bCs/>
          <w:sz w:val="28"/>
          <w:szCs w:val="28"/>
          <w:lang w:val="en-GB"/>
        </w:rPr>
        <w:t xml:space="preserve">Issued </w:t>
      </w:r>
      <w:proofErr w:type="gramStart"/>
      <w:r w:rsidRPr="00770DAD">
        <w:rPr>
          <w:rFonts w:ascii="Arial" w:eastAsia="Times New Roman" w:hAnsi="Arial" w:cs="Arial"/>
          <w:b/>
          <w:bCs/>
          <w:sz w:val="28"/>
          <w:szCs w:val="28"/>
          <w:lang w:val="en-GB"/>
        </w:rPr>
        <w:t>on:</w:t>
      </w:r>
      <w:proofErr w:type="gramEnd"/>
      <w:r w:rsidRPr="00770DAD">
        <w:rPr>
          <w:rFonts w:ascii="Arial" w:eastAsia="Times New Roman" w:hAnsi="Arial" w:cs="Arial"/>
          <w:sz w:val="28"/>
          <w:szCs w:val="28"/>
          <w:lang w:val="en-GB"/>
        </w:rPr>
        <w:t> 8 Dhu al-</w:t>
      </w:r>
      <w:proofErr w:type="spellStart"/>
      <w:r w:rsidRPr="00770DAD">
        <w:rPr>
          <w:rFonts w:ascii="Arial" w:eastAsia="Times New Roman" w:hAnsi="Arial" w:cs="Arial"/>
          <w:sz w:val="28"/>
          <w:szCs w:val="28"/>
          <w:lang w:val="en-GB"/>
        </w:rPr>
        <w:t>Qi'dah</w:t>
      </w:r>
      <w:proofErr w:type="spellEnd"/>
      <w:r w:rsidRPr="00770DAD">
        <w:rPr>
          <w:rFonts w:ascii="Arial" w:eastAsia="Times New Roman" w:hAnsi="Arial" w:cs="Arial"/>
          <w:sz w:val="28"/>
          <w:szCs w:val="28"/>
          <w:lang w:val="en-GB"/>
        </w:rPr>
        <w:t xml:space="preserve"> 1441 A.H. </w:t>
      </w:r>
    </w:p>
    <w:p w14:paraId="71EBB853" w14:textId="77777777" w:rsidR="00770DAD" w:rsidRPr="00770DAD" w:rsidRDefault="00770DAD" w:rsidP="00825C7B">
      <w:pPr>
        <w:spacing w:before="120" w:after="0" w:line="360" w:lineRule="auto"/>
        <w:rPr>
          <w:rFonts w:ascii="Arial" w:eastAsia="Times New Roman" w:hAnsi="Arial" w:cs="Arial"/>
          <w:sz w:val="28"/>
          <w:szCs w:val="28"/>
          <w:lang w:val="en-GB"/>
        </w:rPr>
      </w:pPr>
      <w:r w:rsidRPr="00770DAD">
        <w:rPr>
          <w:rFonts w:ascii="Arial" w:eastAsia="Times New Roman" w:hAnsi="Arial" w:cs="Arial"/>
          <w:b/>
          <w:bCs/>
          <w:sz w:val="28"/>
          <w:szCs w:val="28"/>
          <w:lang w:val="en-GB"/>
        </w:rPr>
        <w:t>Corresponding to:</w:t>
      </w:r>
      <w:r w:rsidRPr="00770DAD">
        <w:rPr>
          <w:rFonts w:ascii="Arial" w:eastAsia="Times New Roman" w:hAnsi="Arial" w:cs="Arial"/>
          <w:sz w:val="28"/>
          <w:szCs w:val="28"/>
          <w:lang w:val="en-GB"/>
        </w:rPr>
        <w:t> 29 June 2020 </w:t>
      </w:r>
    </w:p>
    <w:p w14:paraId="7B0B4DAC" w14:textId="77777777" w:rsidR="00770DAD" w:rsidRPr="00770DAD" w:rsidRDefault="00770DAD" w:rsidP="00825C7B">
      <w:pPr>
        <w:spacing w:before="120" w:after="0" w:line="360" w:lineRule="auto"/>
        <w:rPr>
          <w:rFonts w:ascii="Arial" w:eastAsia="Times New Roman" w:hAnsi="Arial" w:cs="Arial"/>
          <w:b/>
          <w:bCs/>
          <w:sz w:val="28"/>
          <w:szCs w:val="28"/>
        </w:rPr>
      </w:pPr>
    </w:p>
    <w:p w14:paraId="7BAFB3B2" w14:textId="77777777" w:rsidR="00770DAD" w:rsidRPr="00770DAD" w:rsidRDefault="00770DAD" w:rsidP="00825C7B">
      <w:pPr>
        <w:spacing w:before="120" w:after="0" w:line="360" w:lineRule="auto"/>
        <w:rPr>
          <w:rFonts w:ascii="Arial" w:hAnsi="Arial" w:cs="Arial"/>
          <w:sz w:val="28"/>
          <w:szCs w:val="28"/>
        </w:rPr>
      </w:pPr>
    </w:p>
    <w:sectPr w:rsidR="00770DAD" w:rsidRPr="00770DAD" w:rsidSect="00B74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AD"/>
    <w:rsid w:val="000948D8"/>
    <w:rsid w:val="00532265"/>
    <w:rsid w:val="00544A0E"/>
    <w:rsid w:val="00770DAD"/>
    <w:rsid w:val="00825C7B"/>
    <w:rsid w:val="00B74E5A"/>
    <w:rsid w:val="00BD6D1C"/>
    <w:rsid w:val="00EE5C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3D038"/>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2024-05-14T10:11:00Z</dcterms:created>
  <dcterms:modified xsi:type="dcterms:W3CDTF">2024-05-23T11:01:00Z</dcterms:modified>
</cp:coreProperties>
</file>