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3B222" w14:textId="77777777" w:rsidR="00EC7331" w:rsidRPr="00EC7331" w:rsidRDefault="00EC7331" w:rsidP="00047D59">
      <w:pPr>
        <w:spacing w:before="120" w:after="0" w:line="360" w:lineRule="auto"/>
        <w:rPr>
          <w:rFonts w:ascii="Arial" w:eastAsia="Times New Roman" w:hAnsi="Arial" w:cs="Arial"/>
          <w:b/>
          <w:bCs/>
          <w:sz w:val="28"/>
          <w:szCs w:val="28"/>
          <w:lang w:val="en-GB"/>
        </w:rPr>
      </w:pPr>
      <w:r w:rsidRPr="00EC733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5560EC" w14:textId="77777777" w:rsidR="00EC7331" w:rsidRPr="00EC7331" w:rsidRDefault="00EC7331" w:rsidP="00047D59">
      <w:pPr>
        <w:spacing w:before="120" w:after="0" w:line="360" w:lineRule="auto"/>
        <w:rPr>
          <w:rFonts w:ascii="Arial" w:eastAsia="Times New Roman" w:hAnsi="Arial" w:cs="Arial"/>
          <w:b/>
          <w:bCs/>
          <w:sz w:val="28"/>
          <w:szCs w:val="28"/>
          <w:lang w:val="en-GB"/>
        </w:rPr>
      </w:pPr>
      <w:r w:rsidRPr="00EC7331">
        <w:rPr>
          <w:rFonts w:ascii="Arial" w:eastAsia="Times New Roman" w:hAnsi="Arial" w:cs="Arial"/>
          <w:b/>
          <w:bCs/>
          <w:sz w:val="28"/>
          <w:szCs w:val="28"/>
          <w:lang w:val="en-GB"/>
        </w:rPr>
        <w:t>For any corrections, remarks, or suggestions, kindly contact us on translate@lloc.gov.bh</w:t>
      </w:r>
    </w:p>
    <w:p w14:paraId="4A741BC5" w14:textId="77777777" w:rsidR="00EC7331" w:rsidRPr="00EC7331" w:rsidRDefault="00EC7331" w:rsidP="00047D59">
      <w:pPr>
        <w:spacing w:before="120" w:after="0" w:line="360" w:lineRule="auto"/>
        <w:rPr>
          <w:rFonts w:ascii="Arial" w:eastAsia="Times New Roman" w:hAnsi="Arial" w:cs="Arial"/>
          <w:b/>
          <w:bCs/>
          <w:sz w:val="28"/>
          <w:szCs w:val="28"/>
          <w:lang w:val="en-GB"/>
        </w:rPr>
      </w:pPr>
      <w:r w:rsidRPr="00EC7331">
        <w:rPr>
          <w:rFonts w:ascii="Arial" w:eastAsia="Times New Roman" w:hAnsi="Arial" w:cs="Arial"/>
          <w:b/>
          <w:bCs/>
          <w:sz w:val="28"/>
          <w:szCs w:val="28"/>
          <w:lang w:val="en-GB"/>
        </w:rPr>
        <w:t>Published on the website on May 2024</w:t>
      </w:r>
      <w:r w:rsidRPr="00EC7331">
        <w:rPr>
          <w:rFonts w:ascii="Arial" w:eastAsia="Times New Roman" w:hAnsi="Arial" w:cs="Arial"/>
          <w:b/>
          <w:bCs/>
          <w:sz w:val="28"/>
          <w:szCs w:val="28"/>
          <w:lang w:val="en-GB"/>
        </w:rPr>
        <w:br w:type="page"/>
      </w:r>
    </w:p>
    <w:p w14:paraId="635A3855"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lastRenderedPageBreak/>
        <w:t>Ministry of Interior</w:t>
      </w:r>
    </w:p>
    <w:p w14:paraId="172FFC48" w14:textId="77777777" w:rsidR="00EC7331" w:rsidRPr="00EC7331" w:rsidRDefault="00EC7331" w:rsidP="00047D59">
      <w:pPr>
        <w:spacing w:before="120" w:after="0" w:line="360" w:lineRule="auto"/>
        <w:jc w:val="center"/>
        <w:rPr>
          <w:rFonts w:ascii="Arial" w:eastAsia="Times New Roman" w:hAnsi="Arial" w:cs="Arial"/>
          <w:sz w:val="28"/>
          <w:szCs w:val="28"/>
          <w:lang w:val="en-GB"/>
        </w:rPr>
      </w:pPr>
      <w:r w:rsidRPr="00EC7331">
        <w:rPr>
          <w:rFonts w:ascii="Arial" w:eastAsia="Times New Roman" w:hAnsi="Arial" w:cs="Arial"/>
          <w:b/>
          <w:bCs/>
          <w:sz w:val="28"/>
          <w:szCs w:val="28"/>
          <w:lang w:val="en-GB"/>
        </w:rPr>
        <w:t>Decision No. (80) of 2023 amending the Unified Table of Classification and Tabulation of Goods for the Cooperation Council for the Arab States of the Gulf attached to the Decision No. (19) of 2022 regarding the Unified Table of Classification and Tabulation of Goods for the Cooperation Council for the Arab States of the Gulf in accordance with the 2022 Coordinating Statute</w:t>
      </w:r>
    </w:p>
    <w:p w14:paraId="26EE231C" w14:textId="77777777" w:rsidR="00EC7331" w:rsidRPr="00EC7331" w:rsidRDefault="00EC7331" w:rsidP="00047D59">
      <w:pPr>
        <w:spacing w:before="120" w:after="0" w:line="360" w:lineRule="auto"/>
        <w:rPr>
          <w:rFonts w:ascii="Arial" w:eastAsia="Times New Roman" w:hAnsi="Arial" w:cs="Arial"/>
          <w:sz w:val="28"/>
          <w:szCs w:val="28"/>
          <w:lang w:val="en-GB" w:bidi="ar-BH"/>
        </w:rPr>
      </w:pPr>
      <w:r w:rsidRPr="00EC7331">
        <w:rPr>
          <w:rFonts w:ascii="Arial" w:eastAsia="Times New Roman" w:hAnsi="Arial" w:cs="Arial"/>
          <w:sz w:val="28"/>
          <w:szCs w:val="28"/>
          <w:lang w:val="en-GB"/>
        </w:rPr>
        <w:br w:type="page"/>
      </w:r>
    </w:p>
    <w:p w14:paraId="18C5B18E"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lastRenderedPageBreak/>
        <w:t>Minister of Interior: </w:t>
      </w:r>
    </w:p>
    <w:p w14:paraId="733959E4"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Having reviewed the Decision No. (19) of 2022 regarding the Unified Table of Classification and Tabulation of Goods for the Cooperation Council for the Arab States of the Gulf in accordance with the 2022 coordinating Statute, as amended by the Decision No. (159) of 2013; </w:t>
      </w:r>
    </w:p>
    <w:p w14:paraId="7A3A80B4"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Decision of the Financial and Economic Cooperation Committee in its one hundred and sixteenth meeting held on 13 June 2022, regarding the introduction of sub-paragraphs and the amendment of clauses descriptions in the Unified Customs Tariff Table for the Cooperation Council for the Arab States of the Gulf; </w:t>
      </w:r>
    </w:p>
    <w:p w14:paraId="3168636A"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And Decision of the Financial and Economic Cooperation Committee in its one hundred and seventeenth meeting held on 3 October 2022 regarding the introduction and amendment of a number of sub-paragraphs and the amendment of the description of clauses in the Unified Customs Tariff Table for the Cooperation Council for the Arab States of the Gulf; </w:t>
      </w:r>
    </w:p>
    <w:p w14:paraId="0CBAB440"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And upon the submission of the Head of Customs, </w:t>
      </w:r>
    </w:p>
    <w:p w14:paraId="71A1AD73"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Hereby Decides: </w:t>
      </w:r>
    </w:p>
    <w:p w14:paraId="62880970"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Article One </w:t>
      </w:r>
    </w:p>
    <w:p w14:paraId="17DF06D9"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A- The sub-clause with the Coordinating Statute Code (03034300) mentioned in the main clause (03.03) of Chapter Three in Section One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w:t>
      </w:r>
      <w:r w:rsidRPr="00EC7331">
        <w:rPr>
          <w:rFonts w:ascii="Arial" w:eastAsia="Times New Roman" w:hAnsi="Arial" w:cs="Arial"/>
          <w:sz w:val="28"/>
          <w:szCs w:val="28"/>
          <w:lang w:val="en-GB"/>
        </w:rPr>
        <w:lastRenderedPageBreak/>
        <w:t>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3964"/>
        <w:gridCol w:w="5098"/>
      </w:tblGrid>
      <w:tr w:rsidR="0044188F" w:rsidRPr="0044188F" w14:paraId="54638B7E" w14:textId="77777777" w:rsidTr="0044188F">
        <w:tc>
          <w:tcPr>
            <w:tcW w:w="3964" w:type="dxa"/>
          </w:tcPr>
          <w:p w14:paraId="174D1211" w14:textId="77777777" w:rsidR="0044188F" w:rsidRPr="0044188F" w:rsidRDefault="0044188F" w:rsidP="008F2C8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098" w:type="dxa"/>
          </w:tcPr>
          <w:p w14:paraId="02BAD3FF" w14:textId="77777777" w:rsidR="0044188F" w:rsidRPr="0044188F" w:rsidRDefault="0044188F" w:rsidP="008F2C8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487BB241" w14:textId="77777777" w:rsidTr="0044188F">
        <w:tc>
          <w:tcPr>
            <w:tcW w:w="3964" w:type="dxa"/>
          </w:tcPr>
          <w:p w14:paraId="09EB40EA" w14:textId="77777777" w:rsidR="0044188F" w:rsidRPr="0044188F" w:rsidRDefault="0044188F" w:rsidP="008F2C8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03 03 43 00 </w:t>
            </w:r>
          </w:p>
        </w:tc>
        <w:tc>
          <w:tcPr>
            <w:tcW w:w="5098" w:type="dxa"/>
          </w:tcPr>
          <w:p w14:paraId="2125F6D9" w14:textId="77777777" w:rsidR="0044188F" w:rsidRPr="0044188F" w:rsidRDefault="0044188F" w:rsidP="008F2C8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Skipjack tuna and Bonito or Striped Bonito (Katsuwonus pelamis) </w:t>
            </w:r>
          </w:p>
        </w:tc>
      </w:tr>
    </w:tbl>
    <w:p w14:paraId="047AAFF5"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b- Some sub-clauses categories listed under the main clause (03.04) of the Chapter Three in the Section One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3964"/>
        <w:gridCol w:w="5098"/>
      </w:tblGrid>
      <w:tr w:rsidR="0044188F" w:rsidRPr="0044188F" w14:paraId="3381097D" w14:textId="77777777" w:rsidTr="0044188F">
        <w:tc>
          <w:tcPr>
            <w:tcW w:w="3964" w:type="dxa"/>
          </w:tcPr>
          <w:p w14:paraId="75212A9E"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098" w:type="dxa"/>
          </w:tcPr>
          <w:p w14:paraId="146CF85F"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596D4FAC" w14:textId="77777777" w:rsidTr="0044188F">
        <w:tc>
          <w:tcPr>
            <w:tcW w:w="3964" w:type="dxa"/>
          </w:tcPr>
          <w:p w14:paraId="7855C3FE"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03 04 87 00 </w:t>
            </w:r>
          </w:p>
        </w:tc>
        <w:tc>
          <w:tcPr>
            <w:tcW w:w="5098" w:type="dxa"/>
          </w:tcPr>
          <w:p w14:paraId="0D4CE156"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Tuna fish (Thunnus species), Skipjack tuna fish (Striped Bonito) (“Katsuwonus” pelamis)  </w:t>
            </w:r>
          </w:p>
        </w:tc>
      </w:tr>
      <w:tr w:rsidR="0044188F" w:rsidRPr="0044188F" w14:paraId="6D46B33E" w14:textId="77777777" w:rsidTr="0044188F">
        <w:tc>
          <w:tcPr>
            <w:tcW w:w="3964" w:type="dxa"/>
          </w:tcPr>
          <w:p w14:paraId="51965280"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03 04 94 00 </w:t>
            </w:r>
          </w:p>
        </w:tc>
        <w:tc>
          <w:tcPr>
            <w:tcW w:w="5098" w:type="dxa"/>
          </w:tcPr>
          <w:p w14:paraId="0EE7CA40" w14:textId="77777777" w:rsidR="0044188F" w:rsidRPr="0044188F" w:rsidRDefault="0044188F" w:rsidP="00CE21F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Alaska Pollock fish (Theragra chalcogramma) </w:t>
            </w:r>
          </w:p>
        </w:tc>
      </w:tr>
    </w:tbl>
    <w:p w14:paraId="3E373798"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C- The sub-paragraph holding the Coordinating Statute Code (04022911) listed under the main clause (02.04) of the Chapter Four in the Section One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3964"/>
        <w:gridCol w:w="5098"/>
      </w:tblGrid>
      <w:tr w:rsidR="0044188F" w:rsidRPr="0044188F" w14:paraId="028D0148" w14:textId="77777777" w:rsidTr="0044188F">
        <w:tc>
          <w:tcPr>
            <w:tcW w:w="3964" w:type="dxa"/>
          </w:tcPr>
          <w:p w14:paraId="47B3C298" w14:textId="77777777" w:rsidR="0044188F" w:rsidRPr="0044188F" w:rsidRDefault="0044188F" w:rsidP="001D2A69">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lastRenderedPageBreak/>
              <w:t>Coordinating Statute Code </w:t>
            </w:r>
          </w:p>
        </w:tc>
        <w:tc>
          <w:tcPr>
            <w:tcW w:w="5098" w:type="dxa"/>
          </w:tcPr>
          <w:p w14:paraId="563D23A3" w14:textId="77777777" w:rsidR="0044188F" w:rsidRPr="0044188F" w:rsidRDefault="0044188F" w:rsidP="001D2A69">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24C4B1AC" w14:textId="77777777" w:rsidTr="0044188F">
        <w:tc>
          <w:tcPr>
            <w:tcW w:w="3964" w:type="dxa"/>
          </w:tcPr>
          <w:p w14:paraId="7676CB32" w14:textId="77777777" w:rsidR="0044188F" w:rsidRPr="0044188F" w:rsidRDefault="0044188F" w:rsidP="001D2A69">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04 02 29 11 </w:t>
            </w:r>
          </w:p>
        </w:tc>
        <w:tc>
          <w:tcPr>
            <w:tcW w:w="5098" w:type="dxa"/>
          </w:tcPr>
          <w:p w14:paraId="465E252B" w14:textId="77777777" w:rsidR="0044188F" w:rsidRPr="0044188F" w:rsidRDefault="0044188F" w:rsidP="001D2A69">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 - Other dairy products intended for industrial use containing at least 75% milk and containing added sugar or other sweetening substances, even if concentrated. </w:t>
            </w:r>
          </w:p>
        </w:tc>
      </w:tr>
    </w:tbl>
    <w:p w14:paraId="1C259712"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d- The category of the main clause (08.01) of the Chapter Eight of the Section Two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413"/>
        <w:gridCol w:w="3260"/>
        <w:gridCol w:w="4389"/>
      </w:tblGrid>
      <w:tr w:rsidR="0044188F" w:rsidRPr="0044188F" w14:paraId="28D97192" w14:textId="77777777" w:rsidTr="0044188F">
        <w:tc>
          <w:tcPr>
            <w:tcW w:w="1413" w:type="dxa"/>
          </w:tcPr>
          <w:p w14:paraId="1EF533E5" w14:textId="79BAB660" w:rsidR="0044188F" w:rsidRPr="0044188F" w:rsidRDefault="0044188F" w:rsidP="0044188F">
            <w:pPr>
              <w:spacing w:before="120" w:after="0" w:line="360" w:lineRule="auto"/>
              <w:jc w:val="center"/>
              <w:rPr>
                <w:rFonts w:ascii="Arial" w:eastAsia="Times New Roman" w:hAnsi="Arial" w:cs="Arial"/>
                <w:sz w:val="28"/>
                <w:szCs w:val="28"/>
                <w:lang w:val="en-GB"/>
              </w:rPr>
            </w:pPr>
            <w:r w:rsidRPr="0044188F">
              <w:rPr>
                <w:rFonts w:ascii="Arial" w:eastAsia="Times New Roman" w:hAnsi="Arial" w:cs="Arial"/>
                <w:b/>
                <w:bCs/>
                <w:sz w:val="28"/>
                <w:szCs w:val="28"/>
                <w:lang w:val="en-GB"/>
              </w:rPr>
              <w:t>Clause</w:t>
            </w:r>
          </w:p>
        </w:tc>
        <w:tc>
          <w:tcPr>
            <w:tcW w:w="3260" w:type="dxa"/>
          </w:tcPr>
          <w:p w14:paraId="3FD4A2AC" w14:textId="0AF3838E" w:rsidR="0044188F" w:rsidRPr="0044188F" w:rsidRDefault="0044188F" w:rsidP="0044188F">
            <w:pPr>
              <w:spacing w:before="120" w:after="0" w:line="360" w:lineRule="auto"/>
              <w:jc w:val="center"/>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w:t>
            </w:r>
          </w:p>
        </w:tc>
        <w:tc>
          <w:tcPr>
            <w:tcW w:w="4389" w:type="dxa"/>
          </w:tcPr>
          <w:p w14:paraId="5B716917" w14:textId="3B0A89AC" w:rsidR="0044188F" w:rsidRPr="0044188F" w:rsidRDefault="0044188F" w:rsidP="0044188F">
            <w:pPr>
              <w:spacing w:before="120" w:after="0" w:line="360" w:lineRule="auto"/>
              <w:jc w:val="center"/>
              <w:rPr>
                <w:rFonts w:ascii="Arial" w:eastAsia="Times New Roman" w:hAnsi="Arial" w:cs="Arial"/>
                <w:sz w:val="28"/>
                <w:szCs w:val="28"/>
                <w:lang w:val="en-GB"/>
              </w:rPr>
            </w:pPr>
            <w:r w:rsidRPr="0044188F">
              <w:rPr>
                <w:rFonts w:ascii="Arial" w:eastAsia="Times New Roman" w:hAnsi="Arial" w:cs="Arial"/>
                <w:b/>
                <w:bCs/>
                <w:sz w:val="28"/>
                <w:szCs w:val="28"/>
                <w:lang w:val="en-GB"/>
              </w:rPr>
              <w:t>Category</w:t>
            </w:r>
          </w:p>
        </w:tc>
      </w:tr>
      <w:tr w:rsidR="0044188F" w:rsidRPr="0044188F" w14:paraId="06C90B5E" w14:textId="77777777" w:rsidTr="0044188F">
        <w:tc>
          <w:tcPr>
            <w:tcW w:w="1413" w:type="dxa"/>
          </w:tcPr>
          <w:p w14:paraId="38E6BC31" w14:textId="77777777" w:rsidR="0044188F" w:rsidRPr="0044188F" w:rsidRDefault="0044188F" w:rsidP="002353A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08.01 </w:t>
            </w:r>
          </w:p>
        </w:tc>
        <w:tc>
          <w:tcPr>
            <w:tcW w:w="3260" w:type="dxa"/>
          </w:tcPr>
          <w:p w14:paraId="06CE6897" w14:textId="6B661967" w:rsidR="0044188F" w:rsidRPr="0044188F" w:rsidRDefault="0044188F" w:rsidP="002353AF">
            <w:pPr>
              <w:spacing w:before="120" w:after="0" w:line="360" w:lineRule="auto"/>
              <w:rPr>
                <w:rFonts w:ascii="Arial" w:eastAsia="Times New Roman" w:hAnsi="Arial" w:cs="Arial"/>
                <w:sz w:val="28"/>
                <w:szCs w:val="28"/>
                <w:lang w:val="en-GB"/>
              </w:rPr>
            </w:pPr>
          </w:p>
        </w:tc>
        <w:tc>
          <w:tcPr>
            <w:tcW w:w="4389" w:type="dxa"/>
          </w:tcPr>
          <w:p w14:paraId="378F1297" w14:textId="46E96E71" w:rsidR="0044188F" w:rsidRPr="0044188F" w:rsidRDefault="0044188F" w:rsidP="002353A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Coconut, Brazil nuts, and cashew nuts (Indian almonds), fresh or dried, whether shelled or not . </w:t>
            </w:r>
          </w:p>
        </w:tc>
      </w:tr>
    </w:tbl>
    <w:p w14:paraId="0D39FB9D"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e- The category of the sub-paragraph holding the Coordinating Statute Code (24041210) listed under the main clause (04.24) of the Chapter Twenty-Four of the Section Four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7B6F3117" w14:textId="77777777" w:rsidTr="0044188F">
        <w:tc>
          <w:tcPr>
            <w:tcW w:w="4531" w:type="dxa"/>
          </w:tcPr>
          <w:p w14:paraId="4FC71A74" w14:textId="77777777" w:rsidR="0044188F" w:rsidRPr="0044188F" w:rsidRDefault="0044188F" w:rsidP="005A738A">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244EBB2B" w14:textId="77777777" w:rsidR="0044188F" w:rsidRPr="0044188F" w:rsidRDefault="0044188F" w:rsidP="005A738A">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40074681" w14:textId="77777777" w:rsidTr="0044188F">
        <w:tc>
          <w:tcPr>
            <w:tcW w:w="4531" w:type="dxa"/>
          </w:tcPr>
          <w:p w14:paraId="73BB42B4" w14:textId="77777777" w:rsidR="0044188F" w:rsidRPr="0044188F" w:rsidRDefault="0044188F" w:rsidP="005A738A">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lastRenderedPageBreak/>
              <w:t>24041210 </w:t>
            </w:r>
          </w:p>
        </w:tc>
        <w:tc>
          <w:tcPr>
            <w:tcW w:w="4531" w:type="dxa"/>
          </w:tcPr>
          <w:p w14:paraId="71FADD43" w14:textId="77777777" w:rsidR="0044188F" w:rsidRPr="0044188F" w:rsidRDefault="0044188F" w:rsidP="005A738A">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 Cartridges containing nicotine for single use: </w:t>
            </w:r>
          </w:p>
        </w:tc>
      </w:tr>
    </w:tbl>
    <w:p w14:paraId="4325FA49"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f- The category of the main clause (27.10) of the Chapter Twenty-Seven of the Section Five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413"/>
        <w:gridCol w:w="2126"/>
        <w:gridCol w:w="5523"/>
      </w:tblGrid>
      <w:tr w:rsidR="0044188F" w:rsidRPr="0044188F" w14:paraId="5227FC69" w14:textId="77777777" w:rsidTr="0044188F">
        <w:tc>
          <w:tcPr>
            <w:tcW w:w="1413" w:type="dxa"/>
          </w:tcPr>
          <w:p w14:paraId="0A6ECD55" w14:textId="77777777" w:rsidR="0044188F" w:rsidRPr="0044188F" w:rsidRDefault="0044188F" w:rsidP="0061367D">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Clause </w:t>
            </w:r>
          </w:p>
        </w:tc>
        <w:tc>
          <w:tcPr>
            <w:tcW w:w="2126" w:type="dxa"/>
          </w:tcPr>
          <w:p w14:paraId="57C7FB1D" w14:textId="77777777" w:rsidR="0044188F" w:rsidRPr="0044188F" w:rsidRDefault="0044188F" w:rsidP="0061367D">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523" w:type="dxa"/>
          </w:tcPr>
          <w:p w14:paraId="2DF95B15" w14:textId="77777777" w:rsidR="0044188F" w:rsidRPr="0044188F" w:rsidRDefault="0044188F" w:rsidP="0061367D">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5E6FA6BD" w14:textId="77777777" w:rsidTr="0044188F">
        <w:tc>
          <w:tcPr>
            <w:tcW w:w="1413" w:type="dxa"/>
          </w:tcPr>
          <w:p w14:paraId="630B226E" w14:textId="77777777" w:rsidR="0044188F" w:rsidRPr="0044188F" w:rsidRDefault="0044188F" w:rsidP="0061367D">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27.10 </w:t>
            </w:r>
          </w:p>
        </w:tc>
        <w:tc>
          <w:tcPr>
            <w:tcW w:w="2126" w:type="dxa"/>
          </w:tcPr>
          <w:p w14:paraId="3D34D171" w14:textId="0FADF5CE" w:rsidR="0044188F" w:rsidRPr="0044188F" w:rsidRDefault="0044188F" w:rsidP="0061367D">
            <w:pPr>
              <w:spacing w:before="120" w:after="0" w:line="360" w:lineRule="auto"/>
              <w:rPr>
                <w:rFonts w:ascii="Arial" w:eastAsia="Times New Roman" w:hAnsi="Arial" w:cs="Arial"/>
                <w:sz w:val="28"/>
                <w:szCs w:val="28"/>
                <w:lang w:val="en-GB"/>
              </w:rPr>
            </w:pPr>
          </w:p>
        </w:tc>
        <w:tc>
          <w:tcPr>
            <w:tcW w:w="5523" w:type="dxa"/>
          </w:tcPr>
          <w:p w14:paraId="2E53C314" w14:textId="1FBBA67F" w:rsidR="0044188F" w:rsidRPr="0044188F" w:rsidRDefault="0044188F" w:rsidP="0061367D">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Petroleum oils and oils obtained from bituminous minerals, other than crude; preparations not specified or include delsewhere, containing 70% or more by weight of petroleum oils or oils obtained from bituminous minerals, where these oils are the main constituent of the preparations; waste oils. </w:t>
            </w:r>
          </w:p>
        </w:tc>
      </w:tr>
    </w:tbl>
    <w:p w14:paraId="0143E846"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g- The category of the sub-clause holding the Coordinating Statute Code (00 10 10 27) listed under the main clause (10.27) of the Chapter Twenty-Seven of the Section Five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2122"/>
        <w:gridCol w:w="6940"/>
      </w:tblGrid>
      <w:tr w:rsidR="0044188F" w:rsidRPr="0044188F" w14:paraId="30C80DDD" w14:textId="77777777" w:rsidTr="0044188F">
        <w:tc>
          <w:tcPr>
            <w:tcW w:w="2122" w:type="dxa"/>
          </w:tcPr>
          <w:p w14:paraId="7533D680" w14:textId="77777777" w:rsidR="0044188F" w:rsidRPr="0044188F" w:rsidRDefault="0044188F" w:rsidP="0051732E">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lastRenderedPageBreak/>
              <w:t>Coordinating Statute Code </w:t>
            </w:r>
          </w:p>
        </w:tc>
        <w:tc>
          <w:tcPr>
            <w:tcW w:w="6940" w:type="dxa"/>
          </w:tcPr>
          <w:p w14:paraId="60B8E8CE" w14:textId="77777777" w:rsidR="0044188F" w:rsidRPr="0044188F" w:rsidRDefault="0044188F" w:rsidP="0051732E">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79AA8AAA" w14:textId="77777777" w:rsidTr="0044188F">
        <w:tc>
          <w:tcPr>
            <w:tcW w:w="2122" w:type="dxa"/>
          </w:tcPr>
          <w:p w14:paraId="05C8A7C3" w14:textId="77777777" w:rsidR="0044188F" w:rsidRPr="0044188F" w:rsidRDefault="0044188F" w:rsidP="0051732E">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27 10 10 00 </w:t>
            </w:r>
          </w:p>
        </w:tc>
        <w:tc>
          <w:tcPr>
            <w:tcW w:w="6940" w:type="dxa"/>
          </w:tcPr>
          <w:p w14:paraId="7DD89A76" w14:textId="77777777" w:rsidR="0044188F" w:rsidRPr="0044188F" w:rsidRDefault="0044188F" w:rsidP="0051732E">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Petroleum oils and oils obtained from bituminous minerals (other than crude); preparations not specified or included elsewhere, containing 70% or more by weight of petroleum oils or oils obtained from bituminous minerals, where these oils are the main constituent of the preparations, excluding those containing biodiesel and excluding waste oils: </w:t>
            </w:r>
          </w:p>
        </w:tc>
      </w:tr>
    </w:tbl>
    <w:p w14:paraId="3106C263"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h- The category of the sub-clause holding the Coordinating Statute Code (29312000) listed under the main clause (31.29) of the Chapter Twenty-Nine of the Section Six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341B642A" w14:textId="77777777" w:rsidTr="0044188F">
        <w:tc>
          <w:tcPr>
            <w:tcW w:w="4531" w:type="dxa"/>
          </w:tcPr>
          <w:p w14:paraId="7E87694B" w14:textId="77777777" w:rsidR="0044188F" w:rsidRPr="0044188F" w:rsidRDefault="0044188F" w:rsidP="008A6EE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2BDF6466" w14:textId="77777777" w:rsidR="0044188F" w:rsidRPr="0044188F" w:rsidRDefault="0044188F" w:rsidP="008A6EE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51D22361" w14:textId="77777777" w:rsidTr="0044188F">
        <w:tc>
          <w:tcPr>
            <w:tcW w:w="4531" w:type="dxa"/>
          </w:tcPr>
          <w:p w14:paraId="19DE6133" w14:textId="77777777" w:rsidR="0044188F" w:rsidRPr="0044188F" w:rsidRDefault="0044188F" w:rsidP="008A6EE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29 31 20 00 </w:t>
            </w:r>
          </w:p>
        </w:tc>
        <w:tc>
          <w:tcPr>
            <w:tcW w:w="4531" w:type="dxa"/>
          </w:tcPr>
          <w:p w14:paraId="03438F03" w14:textId="77777777" w:rsidR="0044188F" w:rsidRPr="0044188F" w:rsidRDefault="0044188F" w:rsidP="008A6EE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Tributyltin compounds (TBT)  </w:t>
            </w:r>
          </w:p>
        </w:tc>
      </w:tr>
    </w:tbl>
    <w:p w14:paraId="1B3D9EE8"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i- The category of the main clause (44.17) of the Chapter Forty-Four of the Section Nine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271"/>
        <w:gridCol w:w="2126"/>
        <w:gridCol w:w="5665"/>
      </w:tblGrid>
      <w:tr w:rsidR="0044188F" w:rsidRPr="0044188F" w14:paraId="3ED09DD5" w14:textId="77777777" w:rsidTr="0044188F">
        <w:tc>
          <w:tcPr>
            <w:tcW w:w="1271" w:type="dxa"/>
          </w:tcPr>
          <w:p w14:paraId="75DA8A0B" w14:textId="77777777" w:rsidR="0044188F" w:rsidRPr="0044188F" w:rsidRDefault="0044188F" w:rsidP="00934D23">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lastRenderedPageBreak/>
              <w:t>Clause </w:t>
            </w:r>
          </w:p>
        </w:tc>
        <w:tc>
          <w:tcPr>
            <w:tcW w:w="2126" w:type="dxa"/>
          </w:tcPr>
          <w:p w14:paraId="5BEECAD2" w14:textId="77777777" w:rsidR="0044188F" w:rsidRPr="0044188F" w:rsidRDefault="0044188F" w:rsidP="00934D23">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665" w:type="dxa"/>
          </w:tcPr>
          <w:p w14:paraId="72E7B9D2" w14:textId="77777777" w:rsidR="0044188F" w:rsidRPr="0044188F" w:rsidRDefault="0044188F" w:rsidP="00934D23">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3A8870DA" w14:textId="77777777" w:rsidTr="0044188F">
        <w:tc>
          <w:tcPr>
            <w:tcW w:w="1271" w:type="dxa"/>
          </w:tcPr>
          <w:p w14:paraId="6443C79F" w14:textId="77777777" w:rsidR="0044188F" w:rsidRPr="0044188F" w:rsidRDefault="0044188F" w:rsidP="00934D23">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44.17 </w:t>
            </w:r>
          </w:p>
        </w:tc>
        <w:tc>
          <w:tcPr>
            <w:tcW w:w="2126" w:type="dxa"/>
          </w:tcPr>
          <w:p w14:paraId="174E1766" w14:textId="1523EC3B" w:rsidR="0044188F" w:rsidRPr="0044188F" w:rsidRDefault="0044188F" w:rsidP="00934D23">
            <w:pPr>
              <w:spacing w:before="120" w:after="0" w:line="360" w:lineRule="auto"/>
              <w:rPr>
                <w:rFonts w:ascii="Arial" w:eastAsia="Times New Roman" w:hAnsi="Arial" w:cs="Arial"/>
                <w:sz w:val="28"/>
                <w:szCs w:val="28"/>
                <w:lang w:val="en-GB"/>
              </w:rPr>
            </w:pPr>
          </w:p>
        </w:tc>
        <w:tc>
          <w:tcPr>
            <w:tcW w:w="5665" w:type="dxa"/>
          </w:tcPr>
          <w:p w14:paraId="29E46877" w14:textId="1E2A500E" w:rsidR="0044188F" w:rsidRPr="0044188F" w:rsidRDefault="0044188F" w:rsidP="00934D23">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Tools, tool frames and tools handles, frames and handles for (brushes) or brooms, of wood; Molds for shoes, including stretching and expanding molds, of wood. </w:t>
            </w:r>
          </w:p>
        </w:tc>
      </w:tr>
    </w:tbl>
    <w:p w14:paraId="32A0FEB2"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j- The category of the main clause (63.08) of the Chapter Sixty-Three of the Section Eleven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271"/>
        <w:gridCol w:w="2126"/>
        <w:gridCol w:w="5665"/>
      </w:tblGrid>
      <w:tr w:rsidR="0044188F" w:rsidRPr="0044188F" w14:paraId="225312BD" w14:textId="77777777" w:rsidTr="0044188F">
        <w:tc>
          <w:tcPr>
            <w:tcW w:w="1271" w:type="dxa"/>
          </w:tcPr>
          <w:p w14:paraId="17C1E6E2"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Clause </w:t>
            </w:r>
          </w:p>
        </w:tc>
        <w:tc>
          <w:tcPr>
            <w:tcW w:w="2126" w:type="dxa"/>
          </w:tcPr>
          <w:p w14:paraId="04C328B9"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665" w:type="dxa"/>
          </w:tcPr>
          <w:p w14:paraId="4DFDF2A9"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2C50F08B" w14:textId="77777777" w:rsidTr="0044188F">
        <w:tc>
          <w:tcPr>
            <w:tcW w:w="1271" w:type="dxa"/>
          </w:tcPr>
          <w:p w14:paraId="6802B23A"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63.08 </w:t>
            </w:r>
          </w:p>
        </w:tc>
        <w:tc>
          <w:tcPr>
            <w:tcW w:w="2126" w:type="dxa"/>
          </w:tcPr>
          <w:p w14:paraId="4A7C458B"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63 08 00 00 </w:t>
            </w:r>
          </w:p>
        </w:tc>
        <w:tc>
          <w:tcPr>
            <w:tcW w:w="5665" w:type="dxa"/>
          </w:tcPr>
          <w:p w14:paraId="1C84C39C" w14:textId="77777777" w:rsidR="0044188F" w:rsidRPr="0044188F" w:rsidRDefault="0044188F" w:rsidP="00F91429">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Sets (s) of woven cloths and yarns, albeit with accessories, for making rugs or diapers, or embroidered tablecloths and napkins or similar textile articles, prepared in retail wrappings </w:t>
            </w:r>
          </w:p>
        </w:tc>
      </w:tr>
    </w:tbl>
    <w:p w14:paraId="43EF067B"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k- Some sub-clauses categories listed under the main clause (70.19) of the Chapter Seventy in the Section Thirteen of the Unified Table of Classification and Tabulation of Goods for the Cooperation Council for the Arab States of the Gulf attached to Decision No. (19) of 2022 regarding the Unified Table of Classification and Tabulation of Goods for </w:t>
      </w:r>
      <w:r w:rsidRPr="00EC7331">
        <w:rPr>
          <w:rFonts w:ascii="Arial" w:eastAsia="Times New Roman" w:hAnsi="Arial" w:cs="Arial"/>
          <w:sz w:val="28"/>
          <w:szCs w:val="28"/>
          <w:lang w:val="en-GB"/>
        </w:rPr>
        <w:lastRenderedPageBreak/>
        <w:t>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0A473458" w14:textId="77777777" w:rsidTr="0044188F">
        <w:tc>
          <w:tcPr>
            <w:tcW w:w="4531" w:type="dxa"/>
          </w:tcPr>
          <w:p w14:paraId="551A97B6"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783AFEA0"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07A366B1" w14:textId="77777777" w:rsidTr="0044188F">
        <w:tc>
          <w:tcPr>
            <w:tcW w:w="4531" w:type="dxa"/>
          </w:tcPr>
          <w:p w14:paraId="68AFBCF4"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70 19 61 00 </w:t>
            </w:r>
          </w:p>
        </w:tc>
        <w:tc>
          <w:tcPr>
            <w:tcW w:w="4531" w:type="dxa"/>
          </w:tcPr>
          <w:p w14:paraId="38F0C431"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Tightly woven fabrics made of combed fibres "threads” </w:t>
            </w:r>
          </w:p>
        </w:tc>
      </w:tr>
      <w:tr w:rsidR="0044188F" w:rsidRPr="0044188F" w14:paraId="481EBAA4" w14:textId="77777777" w:rsidTr="0044188F">
        <w:tc>
          <w:tcPr>
            <w:tcW w:w="4531" w:type="dxa"/>
          </w:tcPr>
          <w:p w14:paraId="22A75471"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70 19 62 00 </w:t>
            </w:r>
          </w:p>
        </w:tc>
        <w:tc>
          <w:tcPr>
            <w:tcW w:w="4531" w:type="dxa"/>
          </w:tcPr>
          <w:p w14:paraId="085F391D" w14:textId="77777777" w:rsidR="0044188F" w:rsidRPr="0044188F" w:rsidRDefault="0044188F" w:rsidP="00FE4DF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Other tightly woven fabrics made of combed fibres "threads” </w:t>
            </w:r>
          </w:p>
        </w:tc>
      </w:tr>
    </w:tbl>
    <w:p w14:paraId="560BE4C8"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l- The category of the sub-clause holding the Coordinating Statute Code (72042000) mentioned in the main clause (72.04) of the Chapter Seventy-Two in the Section Fifteen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19213039" w14:textId="77777777" w:rsidTr="0044188F">
        <w:tc>
          <w:tcPr>
            <w:tcW w:w="4531" w:type="dxa"/>
          </w:tcPr>
          <w:p w14:paraId="5F59A7B6" w14:textId="77777777" w:rsidR="0044188F" w:rsidRPr="0044188F" w:rsidRDefault="0044188F" w:rsidP="006F782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0D83ECD4" w14:textId="77777777" w:rsidR="0044188F" w:rsidRPr="0044188F" w:rsidRDefault="0044188F" w:rsidP="006F782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34B1D681" w14:textId="77777777" w:rsidTr="0044188F">
        <w:tc>
          <w:tcPr>
            <w:tcW w:w="4531" w:type="dxa"/>
          </w:tcPr>
          <w:p w14:paraId="2943BED2" w14:textId="77777777" w:rsidR="0044188F" w:rsidRPr="0044188F" w:rsidRDefault="0044188F" w:rsidP="006F782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72042000 - </w:t>
            </w:r>
          </w:p>
        </w:tc>
        <w:tc>
          <w:tcPr>
            <w:tcW w:w="4531" w:type="dxa"/>
          </w:tcPr>
          <w:p w14:paraId="26FC360A" w14:textId="77777777" w:rsidR="0044188F" w:rsidRPr="0044188F" w:rsidRDefault="0044188F" w:rsidP="006F782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Scrap and waste from steel mixtures </w:t>
            </w:r>
          </w:p>
        </w:tc>
      </w:tr>
    </w:tbl>
    <w:p w14:paraId="34977DC4"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m- The sub-clause holding the Coordinating Statute Code (81092900) listed under the main clause (81.09) of the Chapter Eighty-One of the Section Fifteen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3801"/>
        <w:gridCol w:w="1508"/>
        <w:gridCol w:w="1679"/>
        <w:gridCol w:w="2074"/>
      </w:tblGrid>
      <w:tr w:rsidR="0044188F" w:rsidRPr="0044188F" w14:paraId="146ED8B4" w14:textId="77777777" w:rsidTr="0044188F">
        <w:tc>
          <w:tcPr>
            <w:tcW w:w="3823" w:type="dxa"/>
          </w:tcPr>
          <w:p w14:paraId="7620ABC3"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lastRenderedPageBreak/>
              <w:t>Coordinating Statute Code </w:t>
            </w:r>
          </w:p>
        </w:tc>
        <w:tc>
          <w:tcPr>
            <w:tcW w:w="1479" w:type="dxa"/>
          </w:tcPr>
          <w:p w14:paraId="5E6A3F3D"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c>
          <w:tcPr>
            <w:tcW w:w="1679" w:type="dxa"/>
          </w:tcPr>
          <w:p w14:paraId="2D08FA7A"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Procedure </w:t>
            </w:r>
          </w:p>
        </w:tc>
        <w:tc>
          <w:tcPr>
            <w:tcW w:w="2081" w:type="dxa"/>
          </w:tcPr>
          <w:p w14:paraId="4C7DE2B3"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Fee Category </w:t>
            </w:r>
          </w:p>
        </w:tc>
      </w:tr>
      <w:tr w:rsidR="0044188F" w:rsidRPr="0044188F" w14:paraId="6831B626" w14:textId="77777777" w:rsidTr="0044188F">
        <w:tc>
          <w:tcPr>
            <w:tcW w:w="3823" w:type="dxa"/>
          </w:tcPr>
          <w:p w14:paraId="7B7C258A"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81092900 </w:t>
            </w:r>
          </w:p>
        </w:tc>
        <w:tc>
          <w:tcPr>
            <w:tcW w:w="1479" w:type="dxa"/>
          </w:tcPr>
          <w:p w14:paraId="64B90928"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Other </w:t>
            </w:r>
          </w:p>
        </w:tc>
        <w:tc>
          <w:tcPr>
            <w:tcW w:w="1679" w:type="dxa"/>
          </w:tcPr>
          <w:p w14:paraId="29A11E45" w14:textId="77777777" w:rsidR="0044188F" w:rsidRPr="0044188F" w:rsidRDefault="0044188F" w:rsidP="002B201F">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5% </w:t>
            </w:r>
          </w:p>
        </w:tc>
        <w:tc>
          <w:tcPr>
            <w:tcW w:w="2081" w:type="dxa"/>
          </w:tcPr>
          <w:p w14:paraId="251315A2" w14:textId="77777777" w:rsidR="0044188F" w:rsidRPr="0044188F" w:rsidRDefault="0044188F" w:rsidP="002B201F">
            <w:pPr>
              <w:spacing w:before="120" w:after="0" w:line="360" w:lineRule="auto"/>
              <w:rPr>
                <w:rFonts w:ascii="Arial" w:eastAsia="Times New Roman" w:hAnsi="Arial" w:cs="Arial"/>
                <w:sz w:val="28"/>
                <w:szCs w:val="28"/>
                <w:lang w:val="en-GB"/>
              </w:rPr>
            </w:pPr>
          </w:p>
        </w:tc>
      </w:tr>
    </w:tbl>
    <w:p w14:paraId="0502AE97"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n- The category of the main clause (84.86) of the Chapter Eighty-Four of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271"/>
        <w:gridCol w:w="2126"/>
        <w:gridCol w:w="5665"/>
      </w:tblGrid>
      <w:tr w:rsidR="0044188F" w:rsidRPr="0044188F" w14:paraId="0661D1B2" w14:textId="77777777" w:rsidTr="0044188F">
        <w:tc>
          <w:tcPr>
            <w:tcW w:w="1271" w:type="dxa"/>
          </w:tcPr>
          <w:p w14:paraId="49D49724" w14:textId="77777777" w:rsidR="0044188F" w:rsidRPr="0044188F" w:rsidRDefault="0044188F" w:rsidP="00542FC5">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Clause </w:t>
            </w:r>
          </w:p>
        </w:tc>
        <w:tc>
          <w:tcPr>
            <w:tcW w:w="2126" w:type="dxa"/>
          </w:tcPr>
          <w:p w14:paraId="7BB715A5" w14:textId="77777777" w:rsidR="0044188F" w:rsidRPr="0044188F" w:rsidRDefault="0044188F" w:rsidP="00542FC5">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665" w:type="dxa"/>
          </w:tcPr>
          <w:p w14:paraId="39C6456A" w14:textId="77777777" w:rsidR="0044188F" w:rsidRPr="0044188F" w:rsidRDefault="0044188F" w:rsidP="00542FC5">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5FDF6EB4" w14:textId="77777777" w:rsidTr="0044188F">
        <w:tc>
          <w:tcPr>
            <w:tcW w:w="1271" w:type="dxa"/>
          </w:tcPr>
          <w:p w14:paraId="71B65980" w14:textId="77777777" w:rsidR="0044188F" w:rsidRPr="0044188F" w:rsidRDefault="0044188F" w:rsidP="00542FC5">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84.86 </w:t>
            </w:r>
          </w:p>
        </w:tc>
        <w:tc>
          <w:tcPr>
            <w:tcW w:w="2126" w:type="dxa"/>
          </w:tcPr>
          <w:p w14:paraId="7B947A68" w14:textId="719F24B2" w:rsidR="0044188F" w:rsidRPr="0044188F" w:rsidRDefault="0044188F" w:rsidP="00542FC5">
            <w:pPr>
              <w:spacing w:before="120" w:after="0" w:line="360" w:lineRule="auto"/>
              <w:rPr>
                <w:rFonts w:ascii="Arial" w:eastAsia="Times New Roman" w:hAnsi="Arial" w:cs="Arial"/>
                <w:sz w:val="28"/>
                <w:szCs w:val="28"/>
                <w:lang w:val="en-GB"/>
              </w:rPr>
            </w:pPr>
          </w:p>
        </w:tc>
        <w:tc>
          <w:tcPr>
            <w:tcW w:w="5665" w:type="dxa"/>
          </w:tcPr>
          <w:p w14:paraId="0A28F22D" w14:textId="014FAFF0" w:rsidR="0044188F" w:rsidRPr="0044188F" w:rsidRDefault="0044188F" w:rsidP="00542FC5">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Machines and apparatus of the types used exclusively or primarily in the manufacture of grids, semiconductors, semiconductor devices, integrated circuits, or flat panel displays; machines and apparatus mentioned in Note 11(c) of this Chapter; parts and accessories. </w:t>
            </w:r>
          </w:p>
        </w:tc>
      </w:tr>
    </w:tbl>
    <w:p w14:paraId="17E0F2D7"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o- The category of the sub-paragraph holding the Coordinating Statute Code (84862010) listed under the main clause (84.86) of the Chapter Eighty-Four of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48775CE5" w14:textId="77777777" w:rsidTr="0044188F">
        <w:tc>
          <w:tcPr>
            <w:tcW w:w="4531" w:type="dxa"/>
          </w:tcPr>
          <w:p w14:paraId="639E1C04" w14:textId="77777777" w:rsidR="0044188F" w:rsidRPr="0044188F" w:rsidRDefault="0044188F" w:rsidP="009863B8">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lastRenderedPageBreak/>
              <w:t>Coordinating Statute Code </w:t>
            </w:r>
          </w:p>
        </w:tc>
        <w:tc>
          <w:tcPr>
            <w:tcW w:w="4531" w:type="dxa"/>
          </w:tcPr>
          <w:p w14:paraId="43A5BE03" w14:textId="77777777" w:rsidR="0044188F" w:rsidRPr="0044188F" w:rsidRDefault="0044188F" w:rsidP="009863B8">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321B7538" w14:textId="77777777" w:rsidTr="0044188F">
        <w:tc>
          <w:tcPr>
            <w:tcW w:w="4531" w:type="dxa"/>
          </w:tcPr>
          <w:p w14:paraId="263394EF" w14:textId="77777777" w:rsidR="0044188F" w:rsidRPr="0044188F" w:rsidRDefault="0044188F" w:rsidP="009863B8">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84862010 </w:t>
            </w:r>
          </w:p>
        </w:tc>
        <w:tc>
          <w:tcPr>
            <w:tcW w:w="4531" w:type="dxa"/>
          </w:tcPr>
          <w:p w14:paraId="23E56334" w14:textId="77777777" w:rsidR="0044188F" w:rsidRPr="0044188F" w:rsidRDefault="0044188F" w:rsidP="009863B8">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 Dry etching machines for semiconductor materials.  </w:t>
            </w:r>
          </w:p>
        </w:tc>
      </w:tr>
    </w:tbl>
    <w:p w14:paraId="1EBD2BC0"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p- The sub-clause holding the Coordinating Statute Code (85164000) listed under the main clause (85.16) of the Chapter Eighty-Five of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1DEB9C0E" w14:textId="77777777" w:rsidTr="0044188F">
        <w:tc>
          <w:tcPr>
            <w:tcW w:w="4531" w:type="dxa"/>
          </w:tcPr>
          <w:p w14:paraId="072DC6E5" w14:textId="77777777" w:rsidR="0044188F" w:rsidRPr="0044188F" w:rsidRDefault="0044188F" w:rsidP="008F2A1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0233F285" w14:textId="77777777" w:rsidR="0044188F" w:rsidRPr="0044188F" w:rsidRDefault="0044188F" w:rsidP="008F2A1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7C7102EF" w14:textId="77777777" w:rsidTr="0044188F">
        <w:tc>
          <w:tcPr>
            <w:tcW w:w="4531" w:type="dxa"/>
          </w:tcPr>
          <w:p w14:paraId="72CE805B" w14:textId="77777777" w:rsidR="0044188F" w:rsidRPr="0044188F" w:rsidRDefault="0044188F" w:rsidP="008F2A1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85164000 </w:t>
            </w:r>
          </w:p>
        </w:tc>
        <w:tc>
          <w:tcPr>
            <w:tcW w:w="4531" w:type="dxa"/>
          </w:tcPr>
          <w:p w14:paraId="771F0789" w14:textId="77777777" w:rsidR="0044188F" w:rsidRPr="0044188F" w:rsidRDefault="0044188F" w:rsidP="008F2A1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Electrical ironing devices </w:t>
            </w:r>
          </w:p>
        </w:tc>
      </w:tr>
    </w:tbl>
    <w:p w14:paraId="462C427D"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q- The category of the sub-paragraph holding the Coordinating Statute Code (85434010) listed under the main clause (85.43) of the Chapter Eighty-Five of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40DC61FD" w14:textId="77777777" w:rsidTr="0044188F">
        <w:tc>
          <w:tcPr>
            <w:tcW w:w="4531" w:type="dxa"/>
          </w:tcPr>
          <w:p w14:paraId="762AB8EC" w14:textId="77777777" w:rsidR="0044188F" w:rsidRPr="0044188F" w:rsidRDefault="0044188F" w:rsidP="00367ABA">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60052800" w14:textId="77777777" w:rsidR="0044188F" w:rsidRPr="0044188F" w:rsidRDefault="0044188F" w:rsidP="00367ABA">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05B8BD35" w14:textId="77777777" w:rsidTr="0044188F">
        <w:tc>
          <w:tcPr>
            <w:tcW w:w="4531" w:type="dxa"/>
          </w:tcPr>
          <w:p w14:paraId="61A80684" w14:textId="77777777" w:rsidR="0044188F" w:rsidRPr="0044188F" w:rsidRDefault="0044188F" w:rsidP="00367ABA">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85434010 </w:t>
            </w:r>
          </w:p>
        </w:tc>
        <w:tc>
          <w:tcPr>
            <w:tcW w:w="4531" w:type="dxa"/>
          </w:tcPr>
          <w:p w14:paraId="060EED78" w14:textId="77777777" w:rsidR="0044188F" w:rsidRPr="0044188F" w:rsidRDefault="0044188F" w:rsidP="00367ABA">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 Reusable electronic cigarettes. </w:t>
            </w:r>
          </w:p>
        </w:tc>
      </w:tr>
    </w:tbl>
    <w:p w14:paraId="44BE8751"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r- The sub-clause holding the Coordinating Statute Code (85491100) listed under the main clause (85.49) of the Chapter Eighty-Five of the </w:t>
      </w:r>
      <w:r w:rsidRPr="00EC7331">
        <w:rPr>
          <w:rFonts w:ascii="Arial" w:eastAsia="Times New Roman" w:hAnsi="Arial" w:cs="Arial"/>
          <w:sz w:val="28"/>
          <w:szCs w:val="28"/>
          <w:lang w:val="en-GB"/>
        </w:rPr>
        <w:lastRenderedPageBreak/>
        <w:t>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531"/>
        <w:gridCol w:w="4531"/>
      </w:tblGrid>
      <w:tr w:rsidR="0044188F" w:rsidRPr="0044188F" w14:paraId="3141A6B8" w14:textId="77777777" w:rsidTr="0044188F">
        <w:tc>
          <w:tcPr>
            <w:tcW w:w="4531" w:type="dxa"/>
          </w:tcPr>
          <w:p w14:paraId="7E377037" w14:textId="77777777" w:rsidR="0044188F" w:rsidRPr="0044188F" w:rsidRDefault="0044188F" w:rsidP="00B208EC">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531" w:type="dxa"/>
          </w:tcPr>
          <w:p w14:paraId="2FD8F527" w14:textId="77777777" w:rsidR="0044188F" w:rsidRPr="0044188F" w:rsidRDefault="0044188F" w:rsidP="00B208EC">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2611E963" w14:textId="77777777" w:rsidTr="0044188F">
        <w:tc>
          <w:tcPr>
            <w:tcW w:w="4531" w:type="dxa"/>
          </w:tcPr>
          <w:p w14:paraId="3EA5BA9C" w14:textId="77777777" w:rsidR="0044188F" w:rsidRPr="0044188F" w:rsidRDefault="0044188F" w:rsidP="00B208E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85491100 </w:t>
            </w:r>
          </w:p>
        </w:tc>
        <w:tc>
          <w:tcPr>
            <w:tcW w:w="4531" w:type="dxa"/>
          </w:tcPr>
          <w:p w14:paraId="76F4BD5F" w14:textId="77777777" w:rsidR="0044188F" w:rsidRPr="0044188F" w:rsidRDefault="0044188F" w:rsidP="00B208EC">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 Waste and scrap of lead-acid accumulators; used lead-acid accumulators. </w:t>
            </w:r>
          </w:p>
        </w:tc>
      </w:tr>
    </w:tbl>
    <w:p w14:paraId="2C9EBC87"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s- Some sub-clauses categories listed under the main clause (87.04) of the Chapter Eighty-Seven in the Section Seventeen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4106"/>
        <w:gridCol w:w="4956"/>
      </w:tblGrid>
      <w:tr w:rsidR="0044188F" w:rsidRPr="0044188F" w14:paraId="1D720BC2" w14:textId="77777777" w:rsidTr="0044188F">
        <w:tc>
          <w:tcPr>
            <w:tcW w:w="4106" w:type="dxa"/>
          </w:tcPr>
          <w:p w14:paraId="00257D7A"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4956" w:type="dxa"/>
          </w:tcPr>
          <w:p w14:paraId="394B6BC4"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792D5591" w14:textId="77777777" w:rsidTr="0044188F">
        <w:tc>
          <w:tcPr>
            <w:tcW w:w="4106" w:type="dxa"/>
          </w:tcPr>
          <w:p w14:paraId="3B39D344"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87044000 </w:t>
            </w:r>
          </w:p>
        </w:tc>
        <w:tc>
          <w:tcPr>
            <w:tcW w:w="4956" w:type="dxa"/>
          </w:tcPr>
          <w:p w14:paraId="346A9D9D"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Other, equipped with an internal combustion piston engine (diesel or semi-diesel) and an electric motor for propulsion: </w:t>
            </w:r>
          </w:p>
        </w:tc>
      </w:tr>
      <w:tr w:rsidR="0044188F" w:rsidRPr="0044188F" w14:paraId="74A145E5" w14:textId="77777777" w:rsidTr="0044188F">
        <w:tc>
          <w:tcPr>
            <w:tcW w:w="4106" w:type="dxa"/>
          </w:tcPr>
          <w:p w14:paraId="5B388B18"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87045000 </w:t>
            </w:r>
          </w:p>
        </w:tc>
        <w:tc>
          <w:tcPr>
            <w:tcW w:w="4956" w:type="dxa"/>
          </w:tcPr>
          <w:p w14:paraId="233CF575" w14:textId="77777777" w:rsidR="0044188F" w:rsidRPr="0044188F" w:rsidRDefault="0044188F" w:rsidP="00091C51">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 Other, equipped with an internal combustion spark-ignition piston engine and an electric motor for propulsion. </w:t>
            </w:r>
          </w:p>
        </w:tc>
      </w:tr>
    </w:tbl>
    <w:p w14:paraId="6FF6FCF3"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lastRenderedPageBreak/>
        <w:t>t- The category of the main clause (91.08) of the Chapter Ninety-One of the Section Eighteen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271"/>
        <w:gridCol w:w="2268"/>
        <w:gridCol w:w="5523"/>
      </w:tblGrid>
      <w:tr w:rsidR="0044188F" w:rsidRPr="0044188F" w14:paraId="4C0619E1" w14:textId="77777777" w:rsidTr="0044188F">
        <w:tc>
          <w:tcPr>
            <w:tcW w:w="1271" w:type="dxa"/>
          </w:tcPr>
          <w:p w14:paraId="3FAAC62C" w14:textId="77777777" w:rsidR="0044188F" w:rsidRPr="0044188F" w:rsidRDefault="0044188F" w:rsidP="00A05CB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Clause </w:t>
            </w:r>
          </w:p>
        </w:tc>
        <w:tc>
          <w:tcPr>
            <w:tcW w:w="2268" w:type="dxa"/>
          </w:tcPr>
          <w:p w14:paraId="158156AF" w14:textId="77777777" w:rsidR="0044188F" w:rsidRPr="0044188F" w:rsidRDefault="0044188F" w:rsidP="00A05CB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523" w:type="dxa"/>
          </w:tcPr>
          <w:p w14:paraId="1DE7431B" w14:textId="77777777" w:rsidR="0044188F" w:rsidRPr="0044188F" w:rsidRDefault="0044188F" w:rsidP="00A05CBB">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280C4102" w14:textId="77777777" w:rsidTr="0044188F">
        <w:tc>
          <w:tcPr>
            <w:tcW w:w="1271" w:type="dxa"/>
          </w:tcPr>
          <w:p w14:paraId="211BB9FC" w14:textId="77777777" w:rsidR="0044188F" w:rsidRPr="0044188F" w:rsidRDefault="0044188F" w:rsidP="00A05CB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91.08 </w:t>
            </w:r>
          </w:p>
        </w:tc>
        <w:tc>
          <w:tcPr>
            <w:tcW w:w="2268" w:type="dxa"/>
          </w:tcPr>
          <w:p w14:paraId="3FBACBF1" w14:textId="0D35C35B" w:rsidR="0044188F" w:rsidRPr="0044188F" w:rsidRDefault="0044188F" w:rsidP="00A05CBB">
            <w:pPr>
              <w:spacing w:before="120" w:after="0" w:line="360" w:lineRule="auto"/>
              <w:rPr>
                <w:rFonts w:ascii="Arial" w:eastAsia="Times New Roman" w:hAnsi="Arial" w:cs="Arial"/>
                <w:sz w:val="28"/>
                <w:szCs w:val="28"/>
                <w:lang w:val="en-GB"/>
              </w:rPr>
            </w:pPr>
          </w:p>
        </w:tc>
        <w:tc>
          <w:tcPr>
            <w:tcW w:w="5523" w:type="dxa"/>
          </w:tcPr>
          <w:p w14:paraId="7C2EBCC1" w14:textId="629433C0" w:rsidR="0044188F" w:rsidRPr="0044188F" w:rsidRDefault="0044188F" w:rsidP="00A05CBB">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Watch movements sets, complete and assembled. </w:t>
            </w:r>
          </w:p>
        </w:tc>
      </w:tr>
    </w:tbl>
    <w:p w14:paraId="42790BFC"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u- The category of the main clause (91.09) of the Chapter Ninety-One of the Section Eighteen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replaced as follows: </w:t>
      </w:r>
    </w:p>
    <w:tbl>
      <w:tblPr>
        <w:tblStyle w:val="TableGrid"/>
        <w:tblW w:w="0" w:type="auto"/>
        <w:tblInd w:w="0" w:type="dxa"/>
        <w:tblLook w:val="04A0" w:firstRow="1" w:lastRow="0" w:firstColumn="1" w:lastColumn="0" w:noHBand="0" w:noVBand="1"/>
      </w:tblPr>
      <w:tblGrid>
        <w:gridCol w:w="1413"/>
        <w:gridCol w:w="2126"/>
        <w:gridCol w:w="5523"/>
      </w:tblGrid>
      <w:tr w:rsidR="0044188F" w:rsidRPr="0044188F" w14:paraId="36438CB1" w14:textId="77777777" w:rsidTr="0044188F">
        <w:tc>
          <w:tcPr>
            <w:tcW w:w="1413" w:type="dxa"/>
          </w:tcPr>
          <w:p w14:paraId="3622F813" w14:textId="77777777" w:rsidR="0044188F" w:rsidRPr="0044188F" w:rsidRDefault="0044188F" w:rsidP="00110E14">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Clause </w:t>
            </w:r>
          </w:p>
        </w:tc>
        <w:tc>
          <w:tcPr>
            <w:tcW w:w="2126" w:type="dxa"/>
          </w:tcPr>
          <w:p w14:paraId="7693AEF1" w14:textId="77777777" w:rsidR="0044188F" w:rsidRPr="0044188F" w:rsidRDefault="0044188F" w:rsidP="00110E14">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Coordinating Statute Code </w:t>
            </w:r>
          </w:p>
        </w:tc>
        <w:tc>
          <w:tcPr>
            <w:tcW w:w="5523" w:type="dxa"/>
          </w:tcPr>
          <w:p w14:paraId="1AAB3CAE" w14:textId="77777777" w:rsidR="0044188F" w:rsidRPr="0044188F" w:rsidRDefault="0044188F" w:rsidP="00110E14">
            <w:pPr>
              <w:spacing w:before="120" w:after="0" w:line="360" w:lineRule="auto"/>
              <w:rPr>
                <w:rFonts w:ascii="Arial" w:eastAsia="Times New Roman" w:hAnsi="Arial" w:cs="Arial"/>
                <w:sz w:val="28"/>
                <w:szCs w:val="28"/>
                <w:lang w:val="en-GB"/>
              </w:rPr>
            </w:pPr>
            <w:r w:rsidRPr="0044188F">
              <w:rPr>
                <w:rFonts w:ascii="Arial" w:eastAsia="Times New Roman" w:hAnsi="Arial" w:cs="Arial"/>
                <w:b/>
                <w:bCs/>
                <w:sz w:val="28"/>
                <w:szCs w:val="28"/>
                <w:lang w:val="en-GB"/>
              </w:rPr>
              <w:t>Category </w:t>
            </w:r>
          </w:p>
        </w:tc>
      </w:tr>
      <w:tr w:rsidR="0044188F" w:rsidRPr="0044188F" w14:paraId="394092DE" w14:textId="77777777" w:rsidTr="0044188F">
        <w:tc>
          <w:tcPr>
            <w:tcW w:w="1413" w:type="dxa"/>
          </w:tcPr>
          <w:p w14:paraId="587945F4" w14:textId="77777777" w:rsidR="0044188F" w:rsidRPr="0044188F" w:rsidRDefault="0044188F" w:rsidP="00110E14">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91.09 </w:t>
            </w:r>
          </w:p>
        </w:tc>
        <w:tc>
          <w:tcPr>
            <w:tcW w:w="2126" w:type="dxa"/>
          </w:tcPr>
          <w:p w14:paraId="3F7D91CF" w14:textId="125C40FD" w:rsidR="0044188F" w:rsidRPr="0044188F" w:rsidRDefault="0044188F" w:rsidP="00110E14">
            <w:pPr>
              <w:spacing w:before="120" w:after="0" w:line="360" w:lineRule="auto"/>
              <w:rPr>
                <w:rFonts w:ascii="Arial" w:eastAsia="Times New Roman" w:hAnsi="Arial" w:cs="Arial"/>
                <w:sz w:val="28"/>
                <w:szCs w:val="28"/>
                <w:lang w:val="en-GB"/>
              </w:rPr>
            </w:pPr>
          </w:p>
        </w:tc>
        <w:tc>
          <w:tcPr>
            <w:tcW w:w="5523" w:type="dxa"/>
          </w:tcPr>
          <w:p w14:paraId="4F4F88D1" w14:textId="7835D91D" w:rsidR="0044188F" w:rsidRPr="0044188F" w:rsidRDefault="0044188F" w:rsidP="00110E14">
            <w:pPr>
              <w:spacing w:before="120" w:after="0" w:line="360" w:lineRule="auto"/>
              <w:rPr>
                <w:rFonts w:ascii="Arial" w:eastAsia="Times New Roman" w:hAnsi="Arial" w:cs="Arial"/>
                <w:sz w:val="28"/>
                <w:szCs w:val="28"/>
                <w:lang w:val="en-GB"/>
              </w:rPr>
            </w:pPr>
            <w:r w:rsidRPr="0044188F">
              <w:rPr>
                <w:rFonts w:ascii="Arial" w:eastAsia="Times New Roman" w:hAnsi="Arial" w:cs="Arial"/>
                <w:sz w:val="28"/>
                <w:szCs w:val="28"/>
                <w:lang w:val="en-GB"/>
              </w:rPr>
              <w:t>Watch movements sets of all types, complete and assembled (excluding watch movements sets under clause 91.08). </w:t>
            </w:r>
          </w:p>
        </w:tc>
      </w:tr>
    </w:tbl>
    <w:p w14:paraId="3D9B41EC"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Article Two </w:t>
      </w:r>
    </w:p>
    <w:p w14:paraId="083CC90A"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a- New sub-paragraphs shall be introduced in the main clause (02.06) of the Chapter Two in the Section One of the Unified Table of Classification and Tabulation of Goods for the Cooperation Council for the Arab States </w:t>
      </w:r>
      <w:r w:rsidRPr="00EC7331">
        <w:rPr>
          <w:rFonts w:ascii="Arial" w:eastAsia="Times New Roman" w:hAnsi="Arial" w:cs="Arial"/>
          <w:sz w:val="28"/>
          <w:szCs w:val="28"/>
          <w:lang w:val="en-GB"/>
        </w:rPr>
        <w:lastRenderedPageBreak/>
        <w:t>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C7FAF" w:rsidRPr="005C7FAF" w14:paraId="00966271" w14:textId="77777777" w:rsidTr="005C7FAF">
        <w:tc>
          <w:tcPr>
            <w:tcW w:w="2265" w:type="dxa"/>
          </w:tcPr>
          <w:p w14:paraId="77EF9C9B"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2265" w:type="dxa"/>
          </w:tcPr>
          <w:p w14:paraId="3E57D07B"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2266" w:type="dxa"/>
          </w:tcPr>
          <w:p w14:paraId="49E5E75C"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13E984BF"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3DF5F753" w14:textId="77777777" w:rsidTr="005C7FAF">
        <w:tc>
          <w:tcPr>
            <w:tcW w:w="2265" w:type="dxa"/>
          </w:tcPr>
          <w:p w14:paraId="244B2E5E"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02068020 </w:t>
            </w:r>
          </w:p>
        </w:tc>
        <w:tc>
          <w:tcPr>
            <w:tcW w:w="2265" w:type="dxa"/>
          </w:tcPr>
          <w:p w14:paraId="733E9128"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Of donkeys, mules, and hinnies. </w:t>
            </w:r>
          </w:p>
        </w:tc>
        <w:tc>
          <w:tcPr>
            <w:tcW w:w="2266" w:type="dxa"/>
          </w:tcPr>
          <w:p w14:paraId="42539C09" w14:textId="77777777" w:rsidR="005C7FAF" w:rsidRPr="005C7FAF" w:rsidRDefault="005C7FAF" w:rsidP="00554BFD">
            <w:pPr>
              <w:spacing w:before="120" w:after="0" w:line="360" w:lineRule="auto"/>
              <w:rPr>
                <w:rFonts w:ascii="Arial" w:eastAsia="Times New Roman" w:hAnsi="Arial" w:cs="Arial"/>
                <w:sz w:val="28"/>
                <w:szCs w:val="28"/>
                <w:lang w:val="en-GB"/>
              </w:rPr>
            </w:pPr>
          </w:p>
        </w:tc>
        <w:tc>
          <w:tcPr>
            <w:tcW w:w="2266" w:type="dxa"/>
          </w:tcPr>
          <w:p w14:paraId="1C95E81A"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r w:rsidR="005C7FAF" w:rsidRPr="005C7FAF" w14:paraId="2702A4AB" w14:textId="77777777" w:rsidTr="005C7FAF">
        <w:tc>
          <w:tcPr>
            <w:tcW w:w="2265" w:type="dxa"/>
          </w:tcPr>
          <w:p w14:paraId="201E08BD"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02069091 </w:t>
            </w:r>
          </w:p>
        </w:tc>
        <w:tc>
          <w:tcPr>
            <w:tcW w:w="2265" w:type="dxa"/>
          </w:tcPr>
          <w:p w14:paraId="3B420F7B"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Of donkeys, mules, and hinnies. </w:t>
            </w:r>
          </w:p>
        </w:tc>
        <w:tc>
          <w:tcPr>
            <w:tcW w:w="2266" w:type="dxa"/>
          </w:tcPr>
          <w:p w14:paraId="7058ACD6" w14:textId="77777777" w:rsidR="005C7FAF" w:rsidRPr="005C7FAF" w:rsidRDefault="005C7FAF" w:rsidP="00554BFD">
            <w:pPr>
              <w:spacing w:before="120" w:after="0" w:line="360" w:lineRule="auto"/>
              <w:rPr>
                <w:rFonts w:ascii="Arial" w:eastAsia="Times New Roman" w:hAnsi="Arial" w:cs="Arial"/>
                <w:sz w:val="28"/>
                <w:szCs w:val="28"/>
                <w:lang w:val="en-GB"/>
              </w:rPr>
            </w:pPr>
          </w:p>
        </w:tc>
        <w:tc>
          <w:tcPr>
            <w:tcW w:w="2266" w:type="dxa"/>
          </w:tcPr>
          <w:p w14:paraId="14EB6EB4"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r w:rsidR="005C7FAF" w:rsidRPr="005C7FAF" w14:paraId="44E20A48" w14:textId="77777777" w:rsidTr="005C7FAF">
        <w:tc>
          <w:tcPr>
            <w:tcW w:w="2265" w:type="dxa"/>
          </w:tcPr>
          <w:p w14:paraId="2B73ED38"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02069099 </w:t>
            </w:r>
          </w:p>
        </w:tc>
        <w:tc>
          <w:tcPr>
            <w:tcW w:w="2265" w:type="dxa"/>
          </w:tcPr>
          <w:p w14:paraId="1960408F"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Other </w:t>
            </w:r>
          </w:p>
        </w:tc>
        <w:tc>
          <w:tcPr>
            <w:tcW w:w="2266" w:type="dxa"/>
          </w:tcPr>
          <w:p w14:paraId="1C995ECE" w14:textId="77777777" w:rsidR="005C7FAF" w:rsidRPr="005C7FAF" w:rsidRDefault="005C7FAF" w:rsidP="00554BFD">
            <w:pPr>
              <w:spacing w:before="120" w:after="0" w:line="360" w:lineRule="auto"/>
              <w:rPr>
                <w:rFonts w:ascii="Arial" w:eastAsia="Times New Roman" w:hAnsi="Arial" w:cs="Arial"/>
                <w:sz w:val="28"/>
                <w:szCs w:val="28"/>
                <w:lang w:val="en-GB"/>
              </w:rPr>
            </w:pPr>
          </w:p>
        </w:tc>
        <w:tc>
          <w:tcPr>
            <w:tcW w:w="2266" w:type="dxa"/>
          </w:tcPr>
          <w:p w14:paraId="42D6C8CC" w14:textId="77777777" w:rsidR="005C7FAF" w:rsidRPr="005C7FAF" w:rsidRDefault="005C7FAF" w:rsidP="00554BF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r>
    </w:tbl>
    <w:p w14:paraId="197896F6"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b- A new sub-paragraph shall be introduced in the main clause (06.02) of the Chapter Six in the Section Two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C7FAF" w:rsidRPr="005C7FAF" w14:paraId="1FB5FEFF" w14:textId="77777777" w:rsidTr="005C7FAF">
        <w:tc>
          <w:tcPr>
            <w:tcW w:w="2265" w:type="dxa"/>
          </w:tcPr>
          <w:p w14:paraId="44AB1D9C"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2265" w:type="dxa"/>
          </w:tcPr>
          <w:p w14:paraId="739BB6C6"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2266" w:type="dxa"/>
          </w:tcPr>
          <w:p w14:paraId="37BFB740"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50E5ECB0"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36B2C7BA" w14:textId="77777777" w:rsidTr="005C7FAF">
        <w:tc>
          <w:tcPr>
            <w:tcW w:w="2265" w:type="dxa"/>
          </w:tcPr>
          <w:p w14:paraId="2404350F"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06021020 </w:t>
            </w:r>
          </w:p>
        </w:tc>
        <w:tc>
          <w:tcPr>
            <w:tcW w:w="2265" w:type="dxa"/>
          </w:tcPr>
          <w:p w14:paraId="507451AC"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Frankincense resins. </w:t>
            </w:r>
          </w:p>
        </w:tc>
        <w:tc>
          <w:tcPr>
            <w:tcW w:w="2266" w:type="dxa"/>
          </w:tcPr>
          <w:p w14:paraId="196E096E" w14:textId="77777777" w:rsidR="005C7FAF" w:rsidRPr="005C7FAF" w:rsidRDefault="005C7FAF" w:rsidP="001A031E">
            <w:pPr>
              <w:spacing w:before="120" w:after="0" w:line="360" w:lineRule="auto"/>
              <w:rPr>
                <w:rFonts w:ascii="Arial" w:eastAsia="Times New Roman" w:hAnsi="Arial" w:cs="Arial"/>
                <w:sz w:val="28"/>
                <w:szCs w:val="28"/>
                <w:lang w:val="en-GB"/>
              </w:rPr>
            </w:pPr>
          </w:p>
        </w:tc>
        <w:tc>
          <w:tcPr>
            <w:tcW w:w="2266" w:type="dxa"/>
          </w:tcPr>
          <w:p w14:paraId="2D6C818D" w14:textId="77777777" w:rsidR="005C7FAF" w:rsidRPr="005C7FAF" w:rsidRDefault="005C7FAF" w:rsidP="001A031E">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Exemption </w:t>
            </w:r>
          </w:p>
        </w:tc>
      </w:tr>
    </w:tbl>
    <w:p w14:paraId="538D0A2D"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c- A new sub-paragraph shall be introduced in the main clause (12.07) of the Chapter Twelve in the Section Two of the Unified Table of </w:t>
      </w:r>
      <w:r w:rsidRPr="00EC7331">
        <w:rPr>
          <w:rFonts w:ascii="Arial" w:eastAsia="Times New Roman" w:hAnsi="Arial" w:cs="Arial"/>
          <w:sz w:val="28"/>
          <w:szCs w:val="28"/>
          <w:lang w:val="en-GB"/>
        </w:rPr>
        <w:lastRenderedPageBreak/>
        <w:t>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C7FAF" w:rsidRPr="005C7FAF" w14:paraId="409ECB52" w14:textId="77777777" w:rsidTr="005C7FAF">
        <w:tc>
          <w:tcPr>
            <w:tcW w:w="2265" w:type="dxa"/>
          </w:tcPr>
          <w:p w14:paraId="5D04CE5E" w14:textId="77777777" w:rsidR="005C7FAF" w:rsidRPr="005C7FAF" w:rsidRDefault="005C7FAF" w:rsidP="0087000B">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2265" w:type="dxa"/>
          </w:tcPr>
          <w:p w14:paraId="1C6DD859" w14:textId="77777777" w:rsidR="005C7FAF" w:rsidRPr="005C7FAF" w:rsidRDefault="005C7FAF" w:rsidP="0087000B">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2266" w:type="dxa"/>
          </w:tcPr>
          <w:p w14:paraId="3D119A89" w14:textId="77777777" w:rsidR="005C7FAF" w:rsidRPr="005C7FAF" w:rsidRDefault="005C7FAF" w:rsidP="0087000B">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67624931" w14:textId="77777777" w:rsidR="005C7FAF" w:rsidRPr="005C7FAF" w:rsidRDefault="005C7FAF" w:rsidP="0087000B">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14239D03" w14:textId="77777777" w:rsidTr="005C7FAF">
        <w:tc>
          <w:tcPr>
            <w:tcW w:w="2265" w:type="dxa"/>
          </w:tcPr>
          <w:p w14:paraId="26EADF8F" w14:textId="77777777" w:rsidR="005C7FAF" w:rsidRPr="005C7FAF" w:rsidRDefault="005C7FAF" w:rsidP="005C7FAF">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12079930 </w:t>
            </w:r>
          </w:p>
        </w:tc>
        <w:tc>
          <w:tcPr>
            <w:tcW w:w="2265" w:type="dxa"/>
          </w:tcPr>
          <w:p w14:paraId="1B8F3177" w14:textId="77777777" w:rsidR="005C7FAF" w:rsidRPr="005C7FAF" w:rsidRDefault="005C7FAF" w:rsidP="005C7FAF">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Frankincense seeds. </w:t>
            </w:r>
          </w:p>
        </w:tc>
        <w:tc>
          <w:tcPr>
            <w:tcW w:w="2266" w:type="dxa"/>
          </w:tcPr>
          <w:p w14:paraId="5F6964C4" w14:textId="00E86759" w:rsidR="005C7FAF" w:rsidRPr="005C7FAF" w:rsidRDefault="005C7FAF" w:rsidP="005C7FAF">
            <w:pPr>
              <w:spacing w:before="120" w:after="0" w:line="360" w:lineRule="auto"/>
              <w:rPr>
                <w:rFonts w:ascii="Arial" w:eastAsia="Times New Roman" w:hAnsi="Arial" w:cs="Arial"/>
                <w:sz w:val="28"/>
                <w:szCs w:val="28"/>
                <w:lang w:val="en-GB"/>
              </w:rPr>
            </w:pPr>
          </w:p>
        </w:tc>
        <w:tc>
          <w:tcPr>
            <w:tcW w:w="2266" w:type="dxa"/>
          </w:tcPr>
          <w:p w14:paraId="694B986E" w14:textId="60FFCBEB" w:rsidR="005C7FAF" w:rsidRPr="005C7FAF" w:rsidRDefault="005C7FAF" w:rsidP="005C7FAF">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r>
    </w:tbl>
    <w:p w14:paraId="574D0044"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d- New sub-paragraphs shall be introduced in the main clause (15.03) of the Chapter Fifteen in the Section Three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C7FAF" w:rsidRPr="005C7FAF" w14:paraId="170E3C5C" w14:textId="77777777" w:rsidTr="005C7FAF">
        <w:tc>
          <w:tcPr>
            <w:tcW w:w="2265" w:type="dxa"/>
          </w:tcPr>
          <w:p w14:paraId="0F1EFD46"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2265" w:type="dxa"/>
          </w:tcPr>
          <w:p w14:paraId="32E72572"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2266" w:type="dxa"/>
          </w:tcPr>
          <w:p w14:paraId="68945709"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1DDBDF32"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30C80C33" w14:textId="77777777" w:rsidTr="005C7FAF">
        <w:tc>
          <w:tcPr>
            <w:tcW w:w="2265" w:type="dxa"/>
          </w:tcPr>
          <w:p w14:paraId="182E5BEF"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15030012 </w:t>
            </w:r>
          </w:p>
        </w:tc>
        <w:tc>
          <w:tcPr>
            <w:tcW w:w="2265" w:type="dxa"/>
          </w:tcPr>
          <w:p w14:paraId="45899061"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Of donkeys, mules, and hinnies. </w:t>
            </w:r>
          </w:p>
        </w:tc>
        <w:tc>
          <w:tcPr>
            <w:tcW w:w="2266" w:type="dxa"/>
          </w:tcPr>
          <w:p w14:paraId="4974A7B0" w14:textId="77777777" w:rsidR="005C7FAF" w:rsidRPr="005C7FAF" w:rsidRDefault="005C7FAF" w:rsidP="00372BB6">
            <w:pPr>
              <w:spacing w:before="120" w:after="0" w:line="360" w:lineRule="auto"/>
              <w:rPr>
                <w:rFonts w:ascii="Arial" w:eastAsia="Times New Roman" w:hAnsi="Arial" w:cs="Arial"/>
                <w:sz w:val="28"/>
                <w:szCs w:val="28"/>
                <w:lang w:val="en-GB"/>
              </w:rPr>
            </w:pPr>
          </w:p>
        </w:tc>
        <w:tc>
          <w:tcPr>
            <w:tcW w:w="2266" w:type="dxa"/>
          </w:tcPr>
          <w:p w14:paraId="1B51EB99"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r w:rsidR="005C7FAF" w:rsidRPr="005C7FAF" w14:paraId="10775DBD" w14:textId="77777777" w:rsidTr="005C7FAF">
        <w:tc>
          <w:tcPr>
            <w:tcW w:w="2265" w:type="dxa"/>
          </w:tcPr>
          <w:p w14:paraId="0588BC2D"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15030022 </w:t>
            </w:r>
          </w:p>
        </w:tc>
        <w:tc>
          <w:tcPr>
            <w:tcW w:w="2265" w:type="dxa"/>
          </w:tcPr>
          <w:p w14:paraId="69A7ADF0"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Of donkeys, mules, and hinnies. </w:t>
            </w:r>
          </w:p>
        </w:tc>
        <w:tc>
          <w:tcPr>
            <w:tcW w:w="2266" w:type="dxa"/>
          </w:tcPr>
          <w:p w14:paraId="60C8B4BD" w14:textId="77777777" w:rsidR="005C7FAF" w:rsidRPr="005C7FAF" w:rsidRDefault="005C7FAF" w:rsidP="00372BB6">
            <w:pPr>
              <w:spacing w:before="120" w:after="0" w:line="360" w:lineRule="auto"/>
              <w:rPr>
                <w:rFonts w:ascii="Arial" w:eastAsia="Times New Roman" w:hAnsi="Arial" w:cs="Arial"/>
                <w:sz w:val="28"/>
                <w:szCs w:val="28"/>
                <w:lang w:val="en-GB"/>
              </w:rPr>
            </w:pPr>
          </w:p>
        </w:tc>
        <w:tc>
          <w:tcPr>
            <w:tcW w:w="2266" w:type="dxa"/>
          </w:tcPr>
          <w:p w14:paraId="0ECAADB9"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r w:rsidR="005C7FAF" w:rsidRPr="005C7FAF" w14:paraId="471FEC7C" w14:textId="77777777" w:rsidTr="005C7FAF">
        <w:tc>
          <w:tcPr>
            <w:tcW w:w="2265" w:type="dxa"/>
          </w:tcPr>
          <w:p w14:paraId="4E53D2BB"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lastRenderedPageBreak/>
              <w:t>15030092 </w:t>
            </w:r>
          </w:p>
        </w:tc>
        <w:tc>
          <w:tcPr>
            <w:tcW w:w="2265" w:type="dxa"/>
          </w:tcPr>
          <w:p w14:paraId="00C83D2F"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Of donkeys, mules, and hinnies. </w:t>
            </w:r>
          </w:p>
        </w:tc>
        <w:tc>
          <w:tcPr>
            <w:tcW w:w="2266" w:type="dxa"/>
          </w:tcPr>
          <w:p w14:paraId="1CDFE11C" w14:textId="77777777" w:rsidR="005C7FAF" w:rsidRPr="005C7FAF" w:rsidRDefault="005C7FAF" w:rsidP="00372BB6">
            <w:pPr>
              <w:spacing w:before="120" w:after="0" w:line="360" w:lineRule="auto"/>
              <w:rPr>
                <w:rFonts w:ascii="Arial" w:eastAsia="Times New Roman" w:hAnsi="Arial" w:cs="Arial"/>
                <w:sz w:val="28"/>
                <w:szCs w:val="28"/>
                <w:lang w:val="en-GB"/>
              </w:rPr>
            </w:pPr>
          </w:p>
        </w:tc>
        <w:tc>
          <w:tcPr>
            <w:tcW w:w="2266" w:type="dxa"/>
          </w:tcPr>
          <w:p w14:paraId="53CBA904" w14:textId="77777777" w:rsidR="005C7FAF" w:rsidRPr="005C7FAF" w:rsidRDefault="005C7FAF" w:rsidP="00372BB6">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bl>
    <w:p w14:paraId="449D2241"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e- A new sub-paragraph shall be introduced in the main clause (15.18) of the Chapter Fifteen in the Section Three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C7FAF" w:rsidRPr="005C7FAF" w14:paraId="37D15D9C" w14:textId="77777777" w:rsidTr="005C7FAF">
        <w:tc>
          <w:tcPr>
            <w:tcW w:w="2265" w:type="dxa"/>
          </w:tcPr>
          <w:p w14:paraId="5A3601A4"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2265" w:type="dxa"/>
          </w:tcPr>
          <w:p w14:paraId="64E9D86D"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2266" w:type="dxa"/>
          </w:tcPr>
          <w:p w14:paraId="7A20C45B"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5619D370"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36329FCE" w14:textId="77777777" w:rsidTr="005C7FAF">
        <w:tc>
          <w:tcPr>
            <w:tcW w:w="2265" w:type="dxa"/>
          </w:tcPr>
          <w:p w14:paraId="7600EF0D"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15180012 </w:t>
            </w:r>
          </w:p>
        </w:tc>
        <w:tc>
          <w:tcPr>
            <w:tcW w:w="2265" w:type="dxa"/>
          </w:tcPr>
          <w:p w14:paraId="1CDFCD92"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Of donkeys, mules, and hinnies. </w:t>
            </w:r>
          </w:p>
        </w:tc>
        <w:tc>
          <w:tcPr>
            <w:tcW w:w="2266" w:type="dxa"/>
          </w:tcPr>
          <w:p w14:paraId="50DE19A7" w14:textId="77777777" w:rsidR="005C7FAF" w:rsidRPr="005C7FAF" w:rsidRDefault="005C7FAF" w:rsidP="0047146A">
            <w:pPr>
              <w:spacing w:before="120" w:after="0" w:line="360" w:lineRule="auto"/>
              <w:rPr>
                <w:rFonts w:ascii="Arial" w:eastAsia="Times New Roman" w:hAnsi="Arial" w:cs="Arial"/>
                <w:sz w:val="28"/>
                <w:szCs w:val="28"/>
                <w:lang w:val="en-GB"/>
              </w:rPr>
            </w:pPr>
          </w:p>
        </w:tc>
        <w:tc>
          <w:tcPr>
            <w:tcW w:w="2266" w:type="dxa"/>
          </w:tcPr>
          <w:p w14:paraId="738AFDAC" w14:textId="77777777" w:rsidR="005C7FAF" w:rsidRPr="005C7FAF" w:rsidRDefault="005C7FAF" w:rsidP="004714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‎Special goods </w:t>
            </w:r>
          </w:p>
        </w:tc>
      </w:tr>
    </w:tbl>
    <w:p w14:paraId="1982F185"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f- New sub-paragraphs shall be introduced in the main clause (20.09) of the Chapter Twenty in the Section Four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17"/>
        <w:gridCol w:w="3018"/>
        <w:gridCol w:w="1679"/>
        <w:gridCol w:w="2148"/>
      </w:tblGrid>
      <w:tr w:rsidR="005C7FAF" w:rsidRPr="005C7FAF" w14:paraId="2AC1AFA2" w14:textId="77777777" w:rsidTr="005C7FAF">
        <w:tc>
          <w:tcPr>
            <w:tcW w:w="2265" w:type="dxa"/>
          </w:tcPr>
          <w:p w14:paraId="6548C5E9"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Coordinating Statute Code </w:t>
            </w:r>
          </w:p>
        </w:tc>
        <w:tc>
          <w:tcPr>
            <w:tcW w:w="3259" w:type="dxa"/>
          </w:tcPr>
          <w:p w14:paraId="33DD763A"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1272" w:type="dxa"/>
          </w:tcPr>
          <w:p w14:paraId="520D6F34"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2266" w:type="dxa"/>
          </w:tcPr>
          <w:p w14:paraId="686FF973"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1F0E6D10" w14:textId="77777777" w:rsidTr="005C7FAF">
        <w:tc>
          <w:tcPr>
            <w:tcW w:w="2265" w:type="dxa"/>
          </w:tcPr>
          <w:p w14:paraId="637BA12E"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20098130 </w:t>
            </w:r>
          </w:p>
        </w:tc>
        <w:tc>
          <w:tcPr>
            <w:tcW w:w="3259" w:type="dxa"/>
          </w:tcPr>
          <w:p w14:paraId="18E35EEB"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xml:space="preserve">- - - Mountain berry juice, without added sugar or other </w:t>
            </w:r>
            <w:r w:rsidRPr="005C7FAF">
              <w:rPr>
                <w:rFonts w:ascii="Arial" w:eastAsia="Times New Roman" w:hAnsi="Arial" w:cs="Arial"/>
                <w:sz w:val="28"/>
                <w:szCs w:val="28"/>
                <w:lang w:val="en-GB"/>
              </w:rPr>
              <w:lastRenderedPageBreak/>
              <w:t>sweetening substances </w:t>
            </w:r>
          </w:p>
        </w:tc>
        <w:tc>
          <w:tcPr>
            <w:tcW w:w="1272" w:type="dxa"/>
          </w:tcPr>
          <w:p w14:paraId="65BD24DA" w14:textId="77777777" w:rsidR="005C7FAF" w:rsidRPr="005C7FAF" w:rsidRDefault="005C7FAF" w:rsidP="0079176A">
            <w:pPr>
              <w:spacing w:before="120" w:after="0" w:line="360" w:lineRule="auto"/>
              <w:rPr>
                <w:rFonts w:ascii="Arial" w:eastAsia="Times New Roman" w:hAnsi="Arial" w:cs="Arial"/>
                <w:sz w:val="28"/>
                <w:szCs w:val="28"/>
                <w:lang w:val="en-GB"/>
              </w:rPr>
            </w:pPr>
          </w:p>
        </w:tc>
        <w:tc>
          <w:tcPr>
            <w:tcW w:w="2266" w:type="dxa"/>
          </w:tcPr>
          <w:p w14:paraId="243BA3FA"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r>
      <w:tr w:rsidR="005C7FAF" w:rsidRPr="005C7FAF" w14:paraId="017EE0AE" w14:textId="77777777" w:rsidTr="005C7FAF">
        <w:tc>
          <w:tcPr>
            <w:tcW w:w="2265" w:type="dxa"/>
          </w:tcPr>
          <w:p w14:paraId="077ABDFB"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20098140 </w:t>
            </w:r>
          </w:p>
        </w:tc>
        <w:tc>
          <w:tcPr>
            <w:tcW w:w="3259" w:type="dxa"/>
          </w:tcPr>
          <w:p w14:paraId="0AD6FE62"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Mountain berry juice, with added sugar or other sweetening substances </w:t>
            </w:r>
          </w:p>
        </w:tc>
        <w:tc>
          <w:tcPr>
            <w:tcW w:w="1272" w:type="dxa"/>
          </w:tcPr>
          <w:p w14:paraId="74E9B1EA" w14:textId="77777777" w:rsidR="005C7FAF" w:rsidRPr="005C7FAF" w:rsidRDefault="005C7FAF" w:rsidP="0079176A">
            <w:pPr>
              <w:spacing w:before="120" w:after="0" w:line="360" w:lineRule="auto"/>
              <w:rPr>
                <w:rFonts w:ascii="Arial" w:eastAsia="Times New Roman" w:hAnsi="Arial" w:cs="Arial"/>
                <w:sz w:val="28"/>
                <w:szCs w:val="28"/>
                <w:lang w:val="en-GB"/>
              </w:rPr>
            </w:pPr>
          </w:p>
        </w:tc>
        <w:tc>
          <w:tcPr>
            <w:tcW w:w="2266" w:type="dxa"/>
          </w:tcPr>
          <w:p w14:paraId="445B66AD" w14:textId="77777777" w:rsidR="005C7FAF" w:rsidRPr="005C7FAF" w:rsidRDefault="005C7FAF" w:rsidP="0079176A">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r>
    </w:tbl>
    <w:p w14:paraId="0D3F02BF"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g- New sub-paragraphs shall be introduced in the main clause (24.04) of the Chapter Twenty-Four in the Section Four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1124"/>
        <w:gridCol w:w="973"/>
        <w:gridCol w:w="1124"/>
        <w:gridCol w:w="910"/>
        <w:gridCol w:w="954"/>
        <w:gridCol w:w="1050"/>
        <w:gridCol w:w="747"/>
        <w:gridCol w:w="725"/>
        <w:gridCol w:w="693"/>
        <w:gridCol w:w="762"/>
      </w:tblGrid>
      <w:tr w:rsidR="005C7FAF" w:rsidRPr="005C7FAF" w14:paraId="41CE96FA" w14:textId="77777777" w:rsidTr="005C7FAF">
        <w:tc>
          <w:tcPr>
            <w:tcW w:w="1124" w:type="dxa"/>
          </w:tcPr>
          <w:p w14:paraId="59B545A0"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Coordinating Statute Code </w:t>
            </w:r>
          </w:p>
        </w:tc>
        <w:tc>
          <w:tcPr>
            <w:tcW w:w="973" w:type="dxa"/>
          </w:tcPr>
          <w:p w14:paraId="1A3CE591"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Category </w:t>
            </w:r>
          </w:p>
        </w:tc>
        <w:tc>
          <w:tcPr>
            <w:tcW w:w="999" w:type="dxa"/>
          </w:tcPr>
          <w:p w14:paraId="2D3FA85F"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Procedure </w:t>
            </w:r>
          </w:p>
        </w:tc>
        <w:tc>
          <w:tcPr>
            <w:tcW w:w="910" w:type="dxa"/>
          </w:tcPr>
          <w:p w14:paraId="7E2AFCEE"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Fee Category </w:t>
            </w:r>
          </w:p>
        </w:tc>
        <w:tc>
          <w:tcPr>
            <w:tcW w:w="973" w:type="dxa"/>
          </w:tcPr>
          <w:p w14:paraId="52362E0C"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Emirates </w:t>
            </w:r>
          </w:p>
        </w:tc>
        <w:tc>
          <w:tcPr>
            <w:tcW w:w="1124" w:type="dxa"/>
          </w:tcPr>
          <w:p w14:paraId="0391584E"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Bahrain </w:t>
            </w:r>
          </w:p>
        </w:tc>
        <w:tc>
          <w:tcPr>
            <w:tcW w:w="754" w:type="dxa"/>
          </w:tcPr>
          <w:p w14:paraId="79F568EC"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Saudi Arabia </w:t>
            </w:r>
          </w:p>
        </w:tc>
        <w:tc>
          <w:tcPr>
            <w:tcW w:w="733" w:type="dxa"/>
          </w:tcPr>
          <w:p w14:paraId="56C7159A"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Oman </w:t>
            </w:r>
          </w:p>
        </w:tc>
        <w:tc>
          <w:tcPr>
            <w:tcW w:w="703" w:type="dxa"/>
          </w:tcPr>
          <w:p w14:paraId="2E949621"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Qatar </w:t>
            </w:r>
          </w:p>
        </w:tc>
        <w:tc>
          <w:tcPr>
            <w:tcW w:w="769" w:type="dxa"/>
          </w:tcPr>
          <w:p w14:paraId="15503A05" w14:textId="77777777"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Kuwait </w:t>
            </w:r>
          </w:p>
        </w:tc>
      </w:tr>
      <w:tr w:rsidR="005C7FAF" w:rsidRPr="005C7FAF" w14:paraId="1A51AECF" w14:textId="77777777" w:rsidTr="005C7FAF">
        <w:tc>
          <w:tcPr>
            <w:tcW w:w="1124" w:type="dxa"/>
          </w:tcPr>
          <w:p w14:paraId="2D82C166" w14:textId="596B73EC"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 xml:space="preserve">- - - </w:t>
            </w:r>
          </w:p>
        </w:tc>
        <w:tc>
          <w:tcPr>
            <w:tcW w:w="973" w:type="dxa"/>
          </w:tcPr>
          <w:p w14:paraId="0C4231F6" w14:textId="0A4B08EB"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Electronic cigarettes containing nicotine for single use: </w:t>
            </w:r>
          </w:p>
        </w:tc>
        <w:tc>
          <w:tcPr>
            <w:tcW w:w="999" w:type="dxa"/>
          </w:tcPr>
          <w:p w14:paraId="62835DEB" w14:textId="0B2C99E5" w:rsidR="005C7FAF" w:rsidRPr="005C7FAF" w:rsidRDefault="005C7FAF" w:rsidP="006B550F">
            <w:pPr>
              <w:spacing w:before="120" w:after="0" w:line="360" w:lineRule="auto"/>
              <w:rPr>
                <w:rFonts w:ascii="Arial" w:eastAsia="Times New Roman" w:hAnsi="Arial" w:cs="Arial"/>
                <w:sz w:val="16"/>
                <w:szCs w:val="16"/>
                <w:lang w:val="en-GB"/>
              </w:rPr>
            </w:pPr>
          </w:p>
        </w:tc>
        <w:tc>
          <w:tcPr>
            <w:tcW w:w="910" w:type="dxa"/>
          </w:tcPr>
          <w:p w14:paraId="64B6D902" w14:textId="7ABD05E9" w:rsidR="005C7FAF" w:rsidRPr="005C7FAF" w:rsidRDefault="005C7FAF" w:rsidP="006B550F">
            <w:pPr>
              <w:spacing w:before="120" w:after="0" w:line="360" w:lineRule="auto"/>
              <w:rPr>
                <w:rFonts w:ascii="Arial" w:eastAsia="Times New Roman" w:hAnsi="Arial" w:cs="Arial"/>
                <w:sz w:val="16"/>
                <w:szCs w:val="16"/>
                <w:lang w:val="en-GB"/>
              </w:rPr>
            </w:pPr>
          </w:p>
        </w:tc>
        <w:tc>
          <w:tcPr>
            <w:tcW w:w="973" w:type="dxa"/>
          </w:tcPr>
          <w:p w14:paraId="55B01D5B" w14:textId="16188814" w:rsidR="005C7FAF" w:rsidRPr="005C7FAF" w:rsidRDefault="005C7FAF" w:rsidP="006B550F">
            <w:pPr>
              <w:spacing w:before="120" w:after="0" w:line="360" w:lineRule="auto"/>
              <w:rPr>
                <w:rFonts w:ascii="Arial" w:eastAsia="Times New Roman" w:hAnsi="Arial" w:cs="Arial"/>
                <w:sz w:val="16"/>
                <w:szCs w:val="16"/>
                <w:lang w:val="en-GB"/>
              </w:rPr>
            </w:pPr>
          </w:p>
        </w:tc>
        <w:tc>
          <w:tcPr>
            <w:tcW w:w="1124" w:type="dxa"/>
          </w:tcPr>
          <w:p w14:paraId="60632105" w14:textId="7A0358D6" w:rsidR="005C7FAF" w:rsidRPr="005C7FAF" w:rsidRDefault="005C7FAF" w:rsidP="006B550F">
            <w:pPr>
              <w:spacing w:before="120" w:after="0" w:line="360" w:lineRule="auto"/>
              <w:rPr>
                <w:rFonts w:ascii="Arial" w:eastAsia="Times New Roman" w:hAnsi="Arial" w:cs="Arial"/>
                <w:sz w:val="16"/>
                <w:szCs w:val="16"/>
                <w:lang w:val="en-GB"/>
              </w:rPr>
            </w:pPr>
          </w:p>
        </w:tc>
        <w:tc>
          <w:tcPr>
            <w:tcW w:w="754" w:type="dxa"/>
          </w:tcPr>
          <w:p w14:paraId="55F6AB69" w14:textId="276D3BC8" w:rsidR="005C7FAF" w:rsidRPr="005C7FAF" w:rsidRDefault="005C7FAF" w:rsidP="006B550F">
            <w:pPr>
              <w:spacing w:before="120" w:after="0" w:line="360" w:lineRule="auto"/>
              <w:rPr>
                <w:rFonts w:ascii="Arial" w:eastAsia="Times New Roman" w:hAnsi="Arial" w:cs="Arial"/>
                <w:sz w:val="16"/>
                <w:szCs w:val="16"/>
                <w:lang w:val="en-GB"/>
              </w:rPr>
            </w:pPr>
          </w:p>
        </w:tc>
        <w:tc>
          <w:tcPr>
            <w:tcW w:w="733" w:type="dxa"/>
          </w:tcPr>
          <w:p w14:paraId="731AB8E1"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03" w:type="dxa"/>
          </w:tcPr>
          <w:p w14:paraId="6333727E"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69" w:type="dxa"/>
          </w:tcPr>
          <w:p w14:paraId="47BC3533" w14:textId="77777777" w:rsidR="005C7FAF" w:rsidRPr="005C7FAF" w:rsidRDefault="005C7FAF" w:rsidP="006B550F">
            <w:pPr>
              <w:spacing w:before="120" w:after="0" w:line="360" w:lineRule="auto"/>
              <w:rPr>
                <w:rFonts w:ascii="Arial" w:eastAsia="Times New Roman" w:hAnsi="Arial" w:cs="Arial"/>
                <w:sz w:val="16"/>
                <w:szCs w:val="16"/>
                <w:lang w:val="en-GB"/>
              </w:rPr>
            </w:pPr>
          </w:p>
        </w:tc>
      </w:tr>
      <w:tr w:rsidR="005C7FAF" w:rsidRPr="005C7FAF" w14:paraId="1D24C659" w14:textId="77777777" w:rsidTr="005C7FAF">
        <w:tc>
          <w:tcPr>
            <w:tcW w:w="1124" w:type="dxa"/>
          </w:tcPr>
          <w:p w14:paraId="59462700"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973" w:type="dxa"/>
          </w:tcPr>
          <w:p w14:paraId="73531CD0" w14:textId="5A55A774"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24041231 </w:t>
            </w:r>
          </w:p>
        </w:tc>
        <w:tc>
          <w:tcPr>
            <w:tcW w:w="999" w:type="dxa"/>
          </w:tcPr>
          <w:p w14:paraId="56855464" w14:textId="5B0C8A90"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Flavoured </w:t>
            </w:r>
          </w:p>
        </w:tc>
        <w:tc>
          <w:tcPr>
            <w:tcW w:w="910" w:type="dxa"/>
          </w:tcPr>
          <w:p w14:paraId="540371D8" w14:textId="4098B301" w:rsidR="005C7FAF" w:rsidRPr="005C7FAF" w:rsidRDefault="005C7FAF" w:rsidP="006B550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100% </w:t>
            </w:r>
          </w:p>
        </w:tc>
        <w:tc>
          <w:tcPr>
            <w:tcW w:w="973" w:type="dxa"/>
          </w:tcPr>
          <w:p w14:paraId="23334C6E"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1124" w:type="dxa"/>
          </w:tcPr>
          <w:p w14:paraId="0207CD17"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54" w:type="dxa"/>
          </w:tcPr>
          <w:p w14:paraId="00539685"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33" w:type="dxa"/>
          </w:tcPr>
          <w:p w14:paraId="21C21169"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03" w:type="dxa"/>
          </w:tcPr>
          <w:p w14:paraId="2D22B03F" w14:textId="77777777" w:rsidR="005C7FAF" w:rsidRPr="005C7FAF" w:rsidRDefault="005C7FAF" w:rsidP="006B550F">
            <w:pPr>
              <w:spacing w:before="120" w:after="0" w:line="360" w:lineRule="auto"/>
              <w:rPr>
                <w:rFonts w:ascii="Arial" w:eastAsia="Times New Roman" w:hAnsi="Arial" w:cs="Arial"/>
                <w:sz w:val="16"/>
                <w:szCs w:val="16"/>
                <w:lang w:val="en-GB"/>
              </w:rPr>
            </w:pPr>
          </w:p>
        </w:tc>
        <w:tc>
          <w:tcPr>
            <w:tcW w:w="769" w:type="dxa"/>
          </w:tcPr>
          <w:p w14:paraId="26D038EE" w14:textId="77777777" w:rsidR="005C7FAF" w:rsidRPr="005C7FAF" w:rsidRDefault="005C7FAF" w:rsidP="006B550F">
            <w:pPr>
              <w:spacing w:before="120" w:after="0" w:line="360" w:lineRule="auto"/>
              <w:rPr>
                <w:rFonts w:ascii="Arial" w:eastAsia="Times New Roman" w:hAnsi="Arial" w:cs="Arial"/>
                <w:sz w:val="16"/>
                <w:szCs w:val="16"/>
                <w:lang w:val="en-GB"/>
              </w:rPr>
            </w:pPr>
          </w:p>
        </w:tc>
      </w:tr>
      <w:tr w:rsidR="005C7FAF" w:rsidRPr="005C7FAF" w14:paraId="2AB3FE9E" w14:textId="77777777" w:rsidTr="005C7FAF">
        <w:tc>
          <w:tcPr>
            <w:tcW w:w="1124" w:type="dxa"/>
          </w:tcPr>
          <w:p w14:paraId="0BB5E249"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973" w:type="dxa"/>
          </w:tcPr>
          <w:p w14:paraId="5BB6C99C" w14:textId="4629296D" w:rsidR="005C7FAF" w:rsidRPr="005C7FAF" w:rsidRDefault="005C7FAF" w:rsidP="005C7FA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24041232 </w:t>
            </w:r>
          </w:p>
        </w:tc>
        <w:tc>
          <w:tcPr>
            <w:tcW w:w="999" w:type="dxa"/>
          </w:tcPr>
          <w:p w14:paraId="0E613D44" w14:textId="446E06D2" w:rsidR="005C7FAF" w:rsidRPr="005C7FAF" w:rsidRDefault="005C7FAF" w:rsidP="005C7FA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Unflavoured </w:t>
            </w:r>
          </w:p>
        </w:tc>
        <w:tc>
          <w:tcPr>
            <w:tcW w:w="910" w:type="dxa"/>
          </w:tcPr>
          <w:p w14:paraId="43781A24" w14:textId="6BE7FE20" w:rsidR="005C7FAF" w:rsidRPr="005C7FAF" w:rsidRDefault="005C7FAF" w:rsidP="005C7FAF">
            <w:pPr>
              <w:spacing w:before="120" w:after="0" w:line="360" w:lineRule="auto"/>
              <w:rPr>
                <w:rFonts w:ascii="Arial" w:eastAsia="Times New Roman" w:hAnsi="Arial" w:cs="Arial"/>
                <w:sz w:val="16"/>
                <w:szCs w:val="16"/>
                <w:lang w:val="en-GB"/>
              </w:rPr>
            </w:pPr>
            <w:r w:rsidRPr="005C7FAF">
              <w:rPr>
                <w:rFonts w:ascii="Arial" w:eastAsia="Times New Roman" w:hAnsi="Arial" w:cs="Arial"/>
                <w:sz w:val="16"/>
                <w:szCs w:val="16"/>
                <w:lang w:val="en-GB"/>
              </w:rPr>
              <w:t>100% </w:t>
            </w:r>
          </w:p>
        </w:tc>
        <w:tc>
          <w:tcPr>
            <w:tcW w:w="973" w:type="dxa"/>
          </w:tcPr>
          <w:p w14:paraId="718FB902"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1124" w:type="dxa"/>
          </w:tcPr>
          <w:p w14:paraId="31B96B14"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754" w:type="dxa"/>
          </w:tcPr>
          <w:p w14:paraId="314DA0BA"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733" w:type="dxa"/>
          </w:tcPr>
          <w:p w14:paraId="0A1BDDD5"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703" w:type="dxa"/>
          </w:tcPr>
          <w:p w14:paraId="6A19FB2F" w14:textId="77777777" w:rsidR="005C7FAF" w:rsidRPr="005C7FAF" w:rsidRDefault="005C7FAF" w:rsidP="005C7FAF">
            <w:pPr>
              <w:spacing w:before="120" w:after="0" w:line="360" w:lineRule="auto"/>
              <w:rPr>
                <w:rFonts w:ascii="Arial" w:eastAsia="Times New Roman" w:hAnsi="Arial" w:cs="Arial"/>
                <w:sz w:val="16"/>
                <w:szCs w:val="16"/>
                <w:lang w:val="en-GB"/>
              </w:rPr>
            </w:pPr>
          </w:p>
        </w:tc>
        <w:tc>
          <w:tcPr>
            <w:tcW w:w="769" w:type="dxa"/>
          </w:tcPr>
          <w:p w14:paraId="01C62CDE" w14:textId="77777777" w:rsidR="005C7FAF" w:rsidRPr="005C7FAF" w:rsidRDefault="005C7FAF" w:rsidP="005C7FAF">
            <w:pPr>
              <w:spacing w:before="120" w:after="0" w:line="360" w:lineRule="auto"/>
              <w:rPr>
                <w:rFonts w:ascii="Arial" w:eastAsia="Times New Roman" w:hAnsi="Arial" w:cs="Arial"/>
                <w:sz w:val="16"/>
                <w:szCs w:val="16"/>
                <w:lang w:val="en-GB"/>
              </w:rPr>
            </w:pPr>
          </w:p>
        </w:tc>
      </w:tr>
    </w:tbl>
    <w:p w14:paraId="09BE6121"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h- New sub-paragraphs shall be introduced in the main clause (84.14) of the Chapter Eighty-Four in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092"/>
        <w:gridCol w:w="3751"/>
        <w:gridCol w:w="1679"/>
        <w:gridCol w:w="1540"/>
      </w:tblGrid>
      <w:tr w:rsidR="005C7FAF" w:rsidRPr="005C7FAF" w14:paraId="6E10E5E6" w14:textId="77777777" w:rsidTr="005C7FAF">
        <w:tc>
          <w:tcPr>
            <w:tcW w:w="2092" w:type="dxa"/>
          </w:tcPr>
          <w:p w14:paraId="5ED83A1E"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lastRenderedPageBreak/>
              <w:t>Coordinating Statute Code </w:t>
            </w:r>
          </w:p>
        </w:tc>
        <w:tc>
          <w:tcPr>
            <w:tcW w:w="3751" w:type="dxa"/>
          </w:tcPr>
          <w:p w14:paraId="283A7B39"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Category </w:t>
            </w:r>
          </w:p>
        </w:tc>
        <w:tc>
          <w:tcPr>
            <w:tcW w:w="1679" w:type="dxa"/>
          </w:tcPr>
          <w:p w14:paraId="669609E1"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Procedure </w:t>
            </w:r>
          </w:p>
        </w:tc>
        <w:tc>
          <w:tcPr>
            <w:tcW w:w="1540" w:type="dxa"/>
          </w:tcPr>
          <w:p w14:paraId="2505E437"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b/>
                <w:bCs/>
                <w:sz w:val="28"/>
                <w:szCs w:val="28"/>
                <w:lang w:val="en-GB"/>
              </w:rPr>
              <w:t>Fee Category </w:t>
            </w:r>
          </w:p>
        </w:tc>
      </w:tr>
      <w:tr w:rsidR="005C7FAF" w:rsidRPr="005C7FAF" w14:paraId="76AE2902" w14:textId="77777777" w:rsidTr="005C7FAF">
        <w:tc>
          <w:tcPr>
            <w:tcW w:w="2092" w:type="dxa"/>
          </w:tcPr>
          <w:p w14:paraId="1950932E"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84145910 </w:t>
            </w:r>
          </w:p>
        </w:tc>
        <w:tc>
          <w:tcPr>
            <w:tcW w:w="3751" w:type="dxa"/>
          </w:tcPr>
          <w:p w14:paraId="432B1178"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Table, floor, wall, window, ceiling, or roof fans with an integrated electric motor whose power exceeds 125 watts </w:t>
            </w:r>
          </w:p>
        </w:tc>
        <w:tc>
          <w:tcPr>
            <w:tcW w:w="1679" w:type="dxa"/>
          </w:tcPr>
          <w:p w14:paraId="664A068D"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c>
          <w:tcPr>
            <w:tcW w:w="1540" w:type="dxa"/>
          </w:tcPr>
          <w:p w14:paraId="40EA46E2"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84145920 </w:t>
            </w:r>
          </w:p>
        </w:tc>
      </w:tr>
      <w:tr w:rsidR="005C7FAF" w:rsidRPr="005C7FAF" w14:paraId="36ED187C" w14:textId="77777777" w:rsidTr="005C7FAF">
        <w:tc>
          <w:tcPr>
            <w:tcW w:w="2092" w:type="dxa"/>
          </w:tcPr>
          <w:p w14:paraId="12683AEC"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Fans for vehicles falling under Chapter 87. </w:t>
            </w:r>
          </w:p>
        </w:tc>
        <w:tc>
          <w:tcPr>
            <w:tcW w:w="3751" w:type="dxa"/>
          </w:tcPr>
          <w:p w14:paraId="43A939B0"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c>
          <w:tcPr>
            <w:tcW w:w="1679" w:type="dxa"/>
          </w:tcPr>
          <w:p w14:paraId="4E16F97E"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84145930 </w:t>
            </w:r>
          </w:p>
        </w:tc>
        <w:tc>
          <w:tcPr>
            <w:tcW w:w="1540" w:type="dxa"/>
          </w:tcPr>
          <w:p w14:paraId="626E2778"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Fans for machinery and equipment falling under Chapter 84. </w:t>
            </w:r>
          </w:p>
        </w:tc>
      </w:tr>
      <w:tr w:rsidR="005C7FAF" w:rsidRPr="005C7FAF" w14:paraId="05C2C4BD" w14:textId="77777777" w:rsidTr="005C7FAF">
        <w:tc>
          <w:tcPr>
            <w:tcW w:w="2092" w:type="dxa"/>
          </w:tcPr>
          <w:p w14:paraId="40D12A7C"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c>
          <w:tcPr>
            <w:tcW w:w="3751" w:type="dxa"/>
          </w:tcPr>
          <w:p w14:paraId="33579DEE"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84145990 </w:t>
            </w:r>
          </w:p>
        </w:tc>
        <w:tc>
          <w:tcPr>
            <w:tcW w:w="1679" w:type="dxa"/>
          </w:tcPr>
          <w:p w14:paraId="435286DB"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 - - - Other </w:t>
            </w:r>
          </w:p>
        </w:tc>
        <w:tc>
          <w:tcPr>
            <w:tcW w:w="1540" w:type="dxa"/>
          </w:tcPr>
          <w:p w14:paraId="500C5FC4" w14:textId="77777777" w:rsidR="005C7FAF" w:rsidRPr="005C7FAF" w:rsidRDefault="005C7FAF" w:rsidP="0091480D">
            <w:p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5% </w:t>
            </w:r>
          </w:p>
        </w:tc>
      </w:tr>
    </w:tbl>
    <w:p w14:paraId="135FF9E6" w14:textId="10CE79EE" w:rsidR="00EC7331" w:rsidRPr="005C7FAF" w:rsidRDefault="00EC7331" w:rsidP="005C7FAF">
      <w:pPr>
        <w:pStyle w:val="ListParagraph"/>
        <w:numPr>
          <w:ilvl w:val="0"/>
          <w:numId w:val="1"/>
        </w:numPr>
        <w:spacing w:before="120" w:after="0" w:line="360" w:lineRule="auto"/>
        <w:rPr>
          <w:rFonts w:ascii="Arial" w:eastAsia="Times New Roman" w:hAnsi="Arial" w:cs="Arial"/>
          <w:sz w:val="28"/>
          <w:szCs w:val="28"/>
          <w:lang w:val="en-GB"/>
        </w:rPr>
      </w:pPr>
      <w:r w:rsidRPr="005C7FAF">
        <w:rPr>
          <w:rFonts w:ascii="Arial" w:eastAsia="Times New Roman" w:hAnsi="Arial" w:cs="Arial"/>
          <w:sz w:val="28"/>
          <w:szCs w:val="28"/>
          <w:lang w:val="en-GB"/>
        </w:rPr>
        <w:t>New sub-paragraphs shall be introduced in the main clause (85.25) of the Chapter Eighty-Five in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p w14:paraId="3443317E" w14:textId="77777777" w:rsidR="005C7FAF" w:rsidRPr="005C7FAF" w:rsidRDefault="005C7FAF" w:rsidP="005C7FAF">
      <w:pPr>
        <w:pStyle w:val="ListParagraph"/>
        <w:numPr>
          <w:ilvl w:val="0"/>
          <w:numId w:val="1"/>
        </w:numPr>
        <w:spacing w:before="120" w:after="0" w:line="360" w:lineRule="auto"/>
        <w:rPr>
          <w:rFonts w:ascii="Arial" w:eastAsia="Times New Roman" w:hAnsi="Arial" w:cs="Arial"/>
          <w:sz w:val="28"/>
          <w:szCs w:val="28"/>
          <w:lang w:val="en-GB"/>
        </w:rPr>
      </w:pPr>
    </w:p>
    <w:tbl>
      <w:tblPr>
        <w:tblStyle w:val="TableGrid"/>
        <w:tblW w:w="9493" w:type="dxa"/>
        <w:tblInd w:w="0" w:type="dxa"/>
        <w:tblLook w:val="04A0" w:firstRow="1" w:lastRow="0" w:firstColumn="1" w:lastColumn="0" w:noHBand="0" w:noVBand="1"/>
      </w:tblPr>
      <w:tblGrid>
        <w:gridCol w:w="1814"/>
        <w:gridCol w:w="4792"/>
        <w:gridCol w:w="1470"/>
        <w:gridCol w:w="1417"/>
      </w:tblGrid>
      <w:tr w:rsidR="005C7FAF" w:rsidRPr="005C7FAF" w14:paraId="14922D40" w14:textId="77777777" w:rsidTr="005E2E0B">
        <w:tc>
          <w:tcPr>
            <w:tcW w:w="1820" w:type="dxa"/>
          </w:tcPr>
          <w:p w14:paraId="6904484F"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b/>
                <w:bCs/>
                <w:sz w:val="24"/>
                <w:szCs w:val="24"/>
                <w:lang w:val="en-GB"/>
              </w:rPr>
              <w:lastRenderedPageBreak/>
              <w:t>Coordinating Statute Code </w:t>
            </w:r>
          </w:p>
        </w:tc>
        <w:tc>
          <w:tcPr>
            <w:tcW w:w="4979" w:type="dxa"/>
          </w:tcPr>
          <w:p w14:paraId="6456ECD8"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b/>
                <w:bCs/>
                <w:sz w:val="24"/>
                <w:szCs w:val="24"/>
                <w:lang w:val="en-GB"/>
              </w:rPr>
              <w:t>Category </w:t>
            </w:r>
          </w:p>
        </w:tc>
        <w:tc>
          <w:tcPr>
            <w:tcW w:w="1277" w:type="dxa"/>
          </w:tcPr>
          <w:p w14:paraId="75C8F4C1"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b/>
                <w:bCs/>
                <w:sz w:val="24"/>
                <w:szCs w:val="24"/>
                <w:lang w:val="en-GB"/>
              </w:rPr>
              <w:t>Procedure </w:t>
            </w:r>
          </w:p>
        </w:tc>
        <w:tc>
          <w:tcPr>
            <w:tcW w:w="1417" w:type="dxa"/>
          </w:tcPr>
          <w:p w14:paraId="39628B99"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b/>
                <w:bCs/>
                <w:sz w:val="24"/>
                <w:szCs w:val="24"/>
                <w:lang w:val="en-GB"/>
              </w:rPr>
              <w:t>Fee Category </w:t>
            </w:r>
          </w:p>
        </w:tc>
      </w:tr>
      <w:tr w:rsidR="005C7FAF" w:rsidRPr="005C7FAF" w14:paraId="17AEA66D" w14:textId="77777777" w:rsidTr="005E2E0B">
        <w:tc>
          <w:tcPr>
            <w:tcW w:w="1820" w:type="dxa"/>
          </w:tcPr>
          <w:p w14:paraId="46DE9A5C"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85258110 </w:t>
            </w:r>
          </w:p>
        </w:tc>
        <w:tc>
          <w:tcPr>
            <w:tcW w:w="4979" w:type="dxa"/>
          </w:tcPr>
          <w:p w14:paraId="64D49868"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High-speed video cameras. </w:t>
            </w:r>
          </w:p>
        </w:tc>
        <w:tc>
          <w:tcPr>
            <w:tcW w:w="1277" w:type="dxa"/>
          </w:tcPr>
          <w:p w14:paraId="4AE7B794"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367A94E3"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3635DF12" w14:textId="77777777" w:rsidTr="005E2E0B">
        <w:tc>
          <w:tcPr>
            <w:tcW w:w="1820" w:type="dxa"/>
          </w:tcPr>
          <w:p w14:paraId="223374E6"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85258120 </w:t>
            </w:r>
          </w:p>
        </w:tc>
        <w:tc>
          <w:tcPr>
            <w:tcW w:w="4979" w:type="dxa"/>
          </w:tcPr>
          <w:p w14:paraId="2B18521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High-speed digital cameras for still images. </w:t>
            </w:r>
          </w:p>
        </w:tc>
        <w:tc>
          <w:tcPr>
            <w:tcW w:w="1277" w:type="dxa"/>
          </w:tcPr>
          <w:p w14:paraId="5F129246"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668277AC"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63B1C5E8" w14:textId="77777777" w:rsidTr="005E2E0B">
        <w:tc>
          <w:tcPr>
            <w:tcW w:w="1820" w:type="dxa"/>
          </w:tcPr>
          <w:p w14:paraId="4BBB8A5C"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85258130 </w:t>
            </w:r>
          </w:p>
        </w:tc>
        <w:tc>
          <w:tcPr>
            <w:tcW w:w="4979" w:type="dxa"/>
          </w:tcPr>
          <w:p w14:paraId="74B7B692"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High-speed television cameras solely for security surveillance. </w:t>
            </w:r>
          </w:p>
        </w:tc>
        <w:tc>
          <w:tcPr>
            <w:tcW w:w="1277" w:type="dxa"/>
          </w:tcPr>
          <w:p w14:paraId="46E4065C"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34D4D30F"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6462EB7E" w14:textId="77777777" w:rsidTr="005E2E0B">
        <w:tc>
          <w:tcPr>
            <w:tcW w:w="1820" w:type="dxa"/>
          </w:tcPr>
          <w:p w14:paraId="36023ED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85258190 </w:t>
            </w:r>
          </w:p>
        </w:tc>
        <w:tc>
          <w:tcPr>
            <w:tcW w:w="4979" w:type="dxa"/>
          </w:tcPr>
          <w:p w14:paraId="0F322EC7"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Other high-speed cameras. </w:t>
            </w:r>
          </w:p>
        </w:tc>
        <w:tc>
          <w:tcPr>
            <w:tcW w:w="1277" w:type="dxa"/>
          </w:tcPr>
          <w:p w14:paraId="13394C42"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182F29C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080C7AA7" w14:textId="77777777" w:rsidTr="005E2E0B">
        <w:tc>
          <w:tcPr>
            <w:tcW w:w="1820" w:type="dxa"/>
          </w:tcPr>
          <w:p w14:paraId="41F13B0E"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85258210 </w:t>
            </w:r>
          </w:p>
        </w:tc>
        <w:tc>
          <w:tcPr>
            <w:tcW w:w="4979" w:type="dxa"/>
          </w:tcPr>
          <w:p w14:paraId="5E7372B5"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Video cameras resistant to or tolerant of radiation. </w:t>
            </w:r>
          </w:p>
        </w:tc>
        <w:tc>
          <w:tcPr>
            <w:tcW w:w="1277" w:type="dxa"/>
          </w:tcPr>
          <w:p w14:paraId="0E0475CE"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5C281077"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3EE96530" w14:textId="77777777" w:rsidTr="005E2E0B">
        <w:tc>
          <w:tcPr>
            <w:tcW w:w="1820" w:type="dxa"/>
          </w:tcPr>
          <w:p w14:paraId="61CA0ED7"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85258220 </w:t>
            </w:r>
          </w:p>
        </w:tc>
        <w:tc>
          <w:tcPr>
            <w:tcW w:w="4979" w:type="dxa"/>
          </w:tcPr>
          <w:p w14:paraId="1FA83476"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Digital cameras for still images resistant to or tolerant of radiation. </w:t>
            </w:r>
          </w:p>
        </w:tc>
        <w:tc>
          <w:tcPr>
            <w:tcW w:w="1277" w:type="dxa"/>
          </w:tcPr>
          <w:p w14:paraId="12F14AFE"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4DD6A79F"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4E3BFBDB" w14:textId="77777777" w:rsidTr="005E2E0B">
        <w:tc>
          <w:tcPr>
            <w:tcW w:w="1820" w:type="dxa"/>
          </w:tcPr>
          <w:p w14:paraId="1ADBC7E5"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85258230 </w:t>
            </w:r>
          </w:p>
        </w:tc>
        <w:tc>
          <w:tcPr>
            <w:tcW w:w="4979" w:type="dxa"/>
          </w:tcPr>
          <w:p w14:paraId="7C904D6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Television cameras solely for security surveillance resistant to or tolerant of radiation. </w:t>
            </w:r>
          </w:p>
        </w:tc>
        <w:tc>
          <w:tcPr>
            <w:tcW w:w="1277" w:type="dxa"/>
          </w:tcPr>
          <w:p w14:paraId="46F6E8AC"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0948F06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14953909" w14:textId="77777777" w:rsidTr="005E2E0B">
        <w:tc>
          <w:tcPr>
            <w:tcW w:w="1820" w:type="dxa"/>
          </w:tcPr>
          <w:p w14:paraId="6E39E93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85258290 </w:t>
            </w:r>
          </w:p>
        </w:tc>
        <w:tc>
          <w:tcPr>
            <w:tcW w:w="4979" w:type="dxa"/>
          </w:tcPr>
          <w:p w14:paraId="3EB5731F"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Other cameras resistant to or tolerant of radiation. </w:t>
            </w:r>
          </w:p>
        </w:tc>
        <w:tc>
          <w:tcPr>
            <w:tcW w:w="1277" w:type="dxa"/>
          </w:tcPr>
          <w:p w14:paraId="520E3B4F"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070637BE"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7AECAE9C" w14:textId="77777777" w:rsidTr="005E2E0B">
        <w:tc>
          <w:tcPr>
            <w:tcW w:w="1820" w:type="dxa"/>
          </w:tcPr>
          <w:p w14:paraId="3BB9CCE9"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85258310 </w:t>
            </w:r>
          </w:p>
        </w:tc>
        <w:tc>
          <w:tcPr>
            <w:tcW w:w="4979" w:type="dxa"/>
          </w:tcPr>
          <w:p w14:paraId="61F6DAC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Night vision video cameras. </w:t>
            </w:r>
          </w:p>
        </w:tc>
        <w:tc>
          <w:tcPr>
            <w:tcW w:w="1277" w:type="dxa"/>
          </w:tcPr>
          <w:p w14:paraId="5634508C"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3002EA8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2E9069B8" w14:textId="77777777" w:rsidTr="005E2E0B">
        <w:tc>
          <w:tcPr>
            <w:tcW w:w="1820" w:type="dxa"/>
          </w:tcPr>
          <w:p w14:paraId="64F387E3"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85258320 </w:t>
            </w:r>
          </w:p>
        </w:tc>
        <w:tc>
          <w:tcPr>
            <w:tcW w:w="4979" w:type="dxa"/>
          </w:tcPr>
          <w:p w14:paraId="6DB0FAFC"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Night vision digital cameras for still images. </w:t>
            </w:r>
          </w:p>
        </w:tc>
        <w:tc>
          <w:tcPr>
            <w:tcW w:w="1277" w:type="dxa"/>
          </w:tcPr>
          <w:p w14:paraId="3999887D"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5215EF76"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291586F3" w14:textId="77777777" w:rsidTr="005E2E0B">
        <w:tc>
          <w:tcPr>
            <w:tcW w:w="1820" w:type="dxa"/>
          </w:tcPr>
          <w:p w14:paraId="7534883D"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85258330 </w:t>
            </w:r>
          </w:p>
        </w:tc>
        <w:tc>
          <w:tcPr>
            <w:tcW w:w="4979" w:type="dxa"/>
          </w:tcPr>
          <w:p w14:paraId="7B5B888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Night vision television cameras solely for security surveillance. </w:t>
            </w:r>
          </w:p>
        </w:tc>
        <w:tc>
          <w:tcPr>
            <w:tcW w:w="1277" w:type="dxa"/>
          </w:tcPr>
          <w:p w14:paraId="0192040F"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59B2528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671532D5" w14:textId="77777777" w:rsidTr="005E2E0B">
        <w:tc>
          <w:tcPr>
            <w:tcW w:w="1820" w:type="dxa"/>
          </w:tcPr>
          <w:p w14:paraId="39E6DF29"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85258390 </w:t>
            </w:r>
          </w:p>
        </w:tc>
        <w:tc>
          <w:tcPr>
            <w:tcW w:w="4979" w:type="dxa"/>
          </w:tcPr>
          <w:p w14:paraId="690BFB4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Other night vision cameras. </w:t>
            </w:r>
          </w:p>
        </w:tc>
        <w:tc>
          <w:tcPr>
            <w:tcW w:w="1277" w:type="dxa"/>
          </w:tcPr>
          <w:p w14:paraId="0BB42618"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192622E4"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4F35490B" w14:textId="77777777" w:rsidTr="005E2E0B">
        <w:tc>
          <w:tcPr>
            <w:tcW w:w="1820" w:type="dxa"/>
          </w:tcPr>
          <w:p w14:paraId="334C0373"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85258910 </w:t>
            </w:r>
          </w:p>
        </w:tc>
        <w:tc>
          <w:tcPr>
            <w:tcW w:w="4979" w:type="dxa"/>
          </w:tcPr>
          <w:p w14:paraId="062D261A"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From video cameras. </w:t>
            </w:r>
          </w:p>
        </w:tc>
        <w:tc>
          <w:tcPr>
            <w:tcW w:w="1277" w:type="dxa"/>
          </w:tcPr>
          <w:p w14:paraId="0D1B6653"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6F313E70"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5215E2C0" w14:textId="77777777" w:rsidTr="005E2E0B">
        <w:tc>
          <w:tcPr>
            <w:tcW w:w="1820" w:type="dxa"/>
          </w:tcPr>
          <w:p w14:paraId="4A401CA9"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85258920 </w:t>
            </w:r>
          </w:p>
        </w:tc>
        <w:tc>
          <w:tcPr>
            <w:tcW w:w="4979" w:type="dxa"/>
          </w:tcPr>
          <w:p w14:paraId="18986E4B"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From digital cameras for still images. </w:t>
            </w:r>
          </w:p>
        </w:tc>
        <w:tc>
          <w:tcPr>
            <w:tcW w:w="1277" w:type="dxa"/>
          </w:tcPr>
          <w:p w14:paraId="2ACBE021"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6A622442"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78F9C058" w14:textId="77777777" w:rsidTr="005E2E0B">
        <w:tc>
          <w:tcPr>
            <w:tcW w:w="1820" w:type="dxa"/>
          </w:tcPr>
          <w:p w14:paraId="2CA8B35F"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85258930 </w:t>
            </w:r>
          </w:p>
        </w:tc>
        <w:tc>
          <w:tcPr>
            <w:tcW w:w="4979" w:type="dxa"/>
          </w:tcPr>
          <w:p w14:paraId="5EF61243"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From television cameras solely for security surveillance. </w:t>
            </w:r>
          </w:p>
        </w:tc>
        <w:tc>
          <w:tcPr>
            <w:tcW w:w="1277" w:type="dxa"/>
          </w:tcPr>
          <w:p w14:paraId="21276A82"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002DD2B9"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r w:rsidR="005C7FAF" w:rsidRPr="005C7FAF" w14:paraId="50BA86D2" w14:textId="77777777" w:rsidTr="005E2E0B">
        <w:tc>
          <w:tcPr>
            <w:tcW w:w="1820" w:type="dxa"/>
          </w:tcPr>
          <w:p w14:paraId="2054F891"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85258990 </w:t>
            </w:r>
          </w:p>
        </w:tc>
        <w:tc>
          <w:tcPr>
            <w:tcW w:w="4979" w:type="dxa"/>
          </w:tcPr>
          <w:p w14:paraId="76D099A1"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 - - - Other </w:t>
            </w:r>
          </w:p>
        </w:tc>
        <w:tc>
          <w:tcPr>
            <w:tcW w:w="1277" w:type="dxa"/>
          </w:tcPr>
          <w:p w14:paraId="3BA2B637" w14:textId="77777777" w:rsidR="005C7FAF" w:rsidRPr="005C7FAF" w:rsidRDefault="005C7FAF" w:rsidP="004869E3">
            <w:pPr>
              <w:spacing w:before="120" w:after="0" w:line="360" w:lineRule="auto"/>
              <w:rPr>
                <w:rFonts w:ascii="Arial" w:eastAsia="Times New Roman" w:hAnsi="Arial" w:cs="Arial"/>
                <w:sz w:val="24"/>
                <w:szCs w:val="24"/>
                <w:lang w:val="en-GB"/>
              </w:rPr>
            </w:pPr>
          </w:p>
        </w:tc>
        <w:tc>
          <w:tcPr>
            <w:tcW w:w="1417" w:type="dxa"/>
          </w:tcPr>
          <w:p w14:paraId="6C353837" w14:textId="77777777" w:rsidR="005C7FAF" w:rsidRPr="005C7FAF" w:rsidRDefault="005C7FAF" w:rsidP="004869E3">
            <w:pPr>
              <w:spacing w:before="120" w:after="0" w:line="360" w:lineRule="auto"/>
              <w:rPr>
                <w:rFonts w:ascii="Arial" w:eastAsia="Times New Roman" w:hAnsi="Arial" w:cs="Arial"/>
                <w:sz w:val="24"/>
                <w:szCs w:val="24"/>
                <w:lang w:val="en-GB"/>
              </w:rPr>
            </w:pPr>
            <w:r w:rsidRPr="005C7FAF">
              <w:rPr>
                <w:rFonts w:ascii="Arial" w:eastAsia="Times New Roman" w:hAnsi="Arial" w:cs="Arial"/>
                <w:sz w:val="24"/>
                <w:szCs w:val="24"/>
                <w:lang w:val="en-GB"/>
              </w:rPr>
              <w:t>Exemption </w:t>
            </w:r>
          </w:p>
        </w:tc>
      </w:tr>
    </w:tbl>
    <w:p w14:paraId="63FB7413"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lastRenderedPageBreak/>
        <w:t>j- New sub-paragraphs shall be introduced in the main clause (85.39) of the Chapter Eighty-Five in the Section Sixteen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E2E0B" w:rsidRPr="005E2E0B" w14:paraId="6A9A4663" w14:textId="77777777" w:rsidTr="005E2E0B">
        <w:tc>
          <w:tcPr>
            <w:tcW w:w="2265" w:type="dxa"/>
          </w:tcPr>
          <w:p w14:paraId="603F9F3E"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Coordinating Statute Code </w:t>
            </w:r>
          </w:p>
        </w:tc>
        <w:tc>
          <w:tcPr>
            <w:tcW w:w="2265" w:type="dxa"/>
          </w:tcPr>
          <w:p w14:paraId="03CCE69E"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Category </w:t>
            </w:r>
          </w:p>
        </w:tc>
        <w:tc>
          <w:tcPr>
            <w:tcW w:w="2266" w:type="dxa"/>
          </w:tcPr>
          <w:p w14:paraId="66B7EDC0"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Procedure </w:t>
            </w:r>
          </w:p>
        </w:tc>
        <w:tc>
          <w:tcPr>
            <w:tcW w:w="2266" w:type="dxa"/>
          </w:tcPr>
          <w:p w14:paraId="3928BAFD"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Fee Category </w:t>
            </w:r>
          </w:p>
        </w:tc>
      </w:tr>
      <w:tr w:rsidR="005E2E0B" w:rsidRPr="005E2E0B" w14:paraId="73D2C3EE" w14:textId="77777777" w:rsidTr="005E2E0B">
        <w:tc>
          <w:tcPr>
            <w:tcW w:w="2265" w:type="dxa"/>
          </w:tcPr>
          <w:p w14:paraId="3B8B32EF"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85392110 </w:t>
            </w:r>
          </w:p>
        </w:tc>
        <w:tc>
          <w:tcPr>
            <w:tcW w:w="2265" w:type="dxa"/>
          </w:tcPr>
          <w:p w14:paraId="662DD509"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Halogen lamps (bulbs) used in modes of transport (cars, planes, trains, etc.)</w:t>
            </w:r>
          </w:p>
        </w:tc>
        <w:tc>
          <w:tcPr>
            <w:tcW w:w="2266" w:type="dxa"/>
          </w:tcPr>
          <w:p w14:paraId="0752AEC9" w14:textId="77777777" w:rsidR="005E2E0B" w:rsidRPr="005E2E0B" w:rsidRDefault="005E2E0B" w:rsidP="00780BBF">
            <w:pPr>
              <w:spacing w:before="120" w:after="0" w:line="360" w:lineRule="auto"/>
              <w:rPr>
                <w:rFonts w:ascii="Arial" w:eastAsia="Times New Roman" w:hAnsi="Arial" w:cs="Arial"/>
                <w:sz w:val="28"/>
                <w:szCs w:val="28"/>
                <w:lang w:val="en-GB"/>
              </w:rPr>
            </w:pPr>
          </w:p>
        </w:tc>
        <w:tc>
          <w:tcPr>
            <w:tcW w:w="2266" w:type="dxa"/>
          </w:tcPr>
          <w:p w14:paraId="0A0819CF"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5% </w:t>
            </w:r>
          </w:p>
        </w:tc>
      </w:tr>
      <w:tr w:rsidR="005E2E0B" w:rsidRPr="005E2E0B" w14:paraId="497DDA38" w14:textId="77777777" w:rsidTr="005E2E0B">
        <w:tc>
          <w:tcPr>
            <w:tcW w:w="2265" w:type="dxa"/>
          </w:tcPr>
          <w:p w14:paraId="77B38854"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85392190 </w:t>
            </w:r>
          </w:p>
        </w:tc>
        <w:tc>
          <w:tcPr>
            <w:tcW w:w="2265" w:type="dxa"/>
          </w:tcPr>
          <w:p w14:paraId="3D81FCEC"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 Other </w:t>
            </w:r>
          </w:p>
        </w:tc>
        <w:tc>
          <w:tcPr>
            <w:tcW w:w="2266" w:type="dxa"/>
          </w:tcPr>
          <w:p w14:paraId="3ED0ADB2" w14:textId="77777777" w:rsidR="005E2E0B" w:rsidRPr="005E2E0B" w:rsidRDefault="005E2E0B" w:rsidP="00780BBF">
            <w:pPr>
              <w:spacing w:before="120" w:after="0" w:line="360" w:lineRule="auto"/>
              <w:rPr>
                <w:rFonts w:ascii="Arial" w:eastAsia="Times New Roman" w:hAnsi="Arial" w:cs="Arial"/>
                <w:sz w:val="28"/>
                <w:szCs w:val="28"/>
                <w:lang w:val="en-GB"/>
              </w:rPr>
            </w:pPr>
          </w:p>
        </w:tc>
        <w:tc>
          <w:tcPr>
            <w:tcW w:w="2266" w:type="dxa"/>
          </w:tcPr>
          <w:p w14:paraId="66A455D6" w14:textId="77777777" w:rsidR="005E2E0B" w:rsidRPr="005E2E0B" w:rsidRDefault="005E2E0B" w:rsidP="00780BBF">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5% </w:t>
            </w:r>
          </w:p>
        </w:tc>
      </w:tr>
    </w:tbl>
    <w:p w14:paraId="2EF1B019"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Article Three </w:t>
      </w:r>
    </w:p>
    <w:p w14:paraId="08FD80FB"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a- The sub-paragraph holding the Coordinating Statute Code (04029919) listed under the main clause (04.02) of the Chapter Four in the Section One of the Unified Table of 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repealed. </w:t>
      </w:r>
    </w:p>
    <w:p w14:paraId="0049E51E"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 xml:space="preserve">b- Some sub-paragraphs mentioned in the main clause (85.25) of the Chapter Eighty-Five in the Section Sixteen of the Unified Table of </w:t>
      </w:r>
      <w:r w:rsidRPr="00EC7331">
        <w:rPr>
          <w:rFonts w:ascii="Arial" w:eastAsia="Times New Roman" w:hAnsi="Arial" w:cs="Arial"/>
          <w:sz w:val="28"/>
          <w:szCs w:val="28"/>
          <w:lang w:val="en-GB"/>
        </w:rPr>
        <w:lastRenderedPageBreak/>
        <w:t>Classification and Tabulation of Goods for the Cooperation Council for the Arab States of the Gulf attached to Decision No. (19) of 2022 regarding the Unified Table of Classification and Tabulation of Goods for the Cooperation Council for the Arab States of the Gulf in accordance with the 2022 Coordinating Statute, shall be repealed and are as follows: </w:t>
      </w:r>
    </w:p>
    <w:tbl>
      <w:tblPr>
        <w:tblStyle w:val="TableGrid"/>
        <w:tblW w:w="0" w:type="auto"/>
        <w:tblInd w:w="0" w:type="dxa"/>
        <w:tblLook w:val="04A0" w:firstRow="1" w:lastRow="0" w:firstColumn="1" w:lastColumn="0" w:noHBand="0" w:noVBand="1"/>
      </w:tblPr>
      <w:tblGrid>
        <w:gridCol w:w="2265"/>
        <w:gridCol w:w="2265"/>
        <w:gridCol w:w="2266"/>
        <w:gridCol w:w="2266"/>
      </w:tblGrid>
      <w:tr w:rsidR="005E2E0B" w:rsidRPr="005E2E0B" w14:paraId="573F48B4" w14:textId="77777777" w:rsidTr="005E2E0B">
        <w:tc>
          <w:tcPr>
            <w:tcW w:w="2265" w:type="dxa"/>
          </w:tcPr>
          <w:p w14:paraId="77D002EA"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Coordinating Statute Code </w:t>
            </w:r>
          </w:p>
        </w:tc>
        <w:tc>
          <w:tcPr>
            <w:tcW w:w="2265" w:type="dxa"/>
          </w:tcPr>
          <w:p w14:paraId="020CB75C"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Category </w:t>
            </w:r>
          </w:p>
        </w:tc>
        <w:tc>
          <w:tcPr>
            <w:tcW w:w="2266" w:type="dxa"/>
          </w:tcPr>
          <w:p w14:paraId="3CE2EAB6"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Procedure </w:t>
            </w:r>
          </w:p>
        </w:tc>
        <w:tc>
          <w:tcPr>
            <w:tcW w:w="2266" w:type="dxa"/>
          </w:tcPr>
          <w:p w14:paraId="68531AFD"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b/>
                <w:bCs/>
                <w:sz w:val="28"/>
                <w:szCs w:val="28"/>
                <w:lang w:val="en-GB"/>
              </w:rPr>
              <w:t>Fee Category </w:t>
            </w:r>
          </w:p>
        </w:tc>
      </w:tr>
      <w:tr w:rsidR="005E2E0B" w:rsidRPr="005E2E0B" w14:paraId="63E9D715" w14:textId="77777777" w:rsidTr="005E2E0B">
        <w:tc>
          <w:tcPr>
            <w:tcW w:w="2265" w:type="dxa"/>
          </w:tcPr>
          <w:p w14:paraId="31D517B4"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85258010 </w:t>
            </w:r>
          </w:p>
        </w:tc>
        <w:tc>
          <w:tcPr>
            <w:tcW w:w="2265" w:type="dxa"/>
          </w:tcPr>
          <w:p w14:paraId="56FB26F6"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Video cameras. </w:t>
            </w:r>
          </w:p>
        </w:tc>
        <w:tc>
          <w:tcPr>
            <w:tcW w:w="2266" w:type="dxa"/>
          </w:tcPr>
          <w:p w14:paraId="7C128BA6" w14:textId="77777777" w:rsidR="005E2E0B" w:rsidRPr="005E2E0B" w:rsidRDefault="005E2E0B" w:rsidP="00036A40">
            <w:pPr>
              <w:spacing w:before="120" w:after="0" w:line="360" w:lineRule="auto"/>
              <w:rPr>
                <w:rFonts w:ascii="Arial" w:eastAsia="Times New Roman" w:hAnsi="Arial" w:cs="Arial"/>
                <w:sz w:val="28"/>
                <w:szCs w:val="28"/>
                <w:lang w:val="en-GB"/>
              </w:rPr>
            </w:pPr>
          </w:p>
        </w:tc>
        <w:tc>
          <w:tcPr>
            <w:tcW w:w="2266" w:type="dxa"/>
          </w:tcPr>
          <w:p w14:paraId="6E8448CD"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Exemption </w:t>
            </w:r>
          </w:p>
        </w:tc>
      </w:tr>
      <w:tr w:rsidR="005E2E0B" w:rsidRPr="005E2E0B" w14:paraId="13F56483" w14:textId="77777777" w:rsidTr="005E2E0B">
        <w:tc>
          <w:tcPr>
            <w:tcW w:w="2265" w:type="dxa"/>
          </w:tcPr>
          <w:p w14:paraId="1CED2F27"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85258020 </w:t>
            </w:r>
          </w:p>
        </w:tc>
        <w:tc>
          <w:tcPr>
            <w:tcW w:w="2265" w:type="dxa"/>
          </w:tcPr>
          <w:p w14:paraId="52369B92"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Digital cameras for still images. </w:t>
            </w:r>
          </w:p>
        </w:tc>
        <w:tc>
          <w:tcPr>
            <w:tcW w:w="2266" w:type="dxa"/>
          </w:tcPr>
          <w:p w14:paraId="13FB16EB" w14:textId="77777777" w:rsidR="005E2E0B" w:rsidRPr="005E2E0B" w:rsidRDefault="005E2E0B" w:rsidP="00036A40">
            <w:pPr>
              <w:spacing w:before="120" w:after="0" w:line="360" w:lineRule="auto"/>
              <w:rPr>
                <w:rFonts w:ascii="Arial" w:eastAsia="Times New Roman" w:hAnsi="Arial" w:cs="Arial"/>
                <w:sz w:val="28"/>
                <w:szCs w:val="28"/>
                <w:lang w:val="en-GB"/>
              </w:rPr>
            </w:pPr>
          </w:p>
        </w:tc>
        <w:tc>
          <w:tcPr>
            <w:tcW w:w="2266" w:type="dxa"/>
          </w:tcPr>
          <w:p w14:paraId="22AAF7E9" w14:textId="77777777" w:rsidR="005E2E0B" w:rsidRPr="005E2E0B" w:rsidRDefault="005E2E0B" w:rsidP="00036A40">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Exemption </w:t>
            </w:r>
          </w:p>
        </w:tc>
      </w:tr>
      <w:tr w:rsidR="005E2E0B" w:rsidRPr="005E2E0B" w14:paraId="3A7E9457" w14:textId="77777777" w:rsidTr="005E2E0B">
        <w:tc>
          <w:tcPr>
            <w:tcW w:w="2265" w:type="dxa"/>
          </w:tcPr>
          <w:p w14:paraId="390B58B2" w14:textId="77777777" w:rsidR="005E2E0B" w:rsidRPr="005E2E0B" w:rsidRDefault="005E2E0B" w:rsidP="005E2E0B">
            <w:pPr>
              <w:spacing w:before="120" w:after="0" w:line="360" w:lineRule="auto"/>
              <w:rPr>
                <w:rFonts w:ascii="Arial" w:eastAsia="Times New Roman" w:hAnsi="Arial" w:cs="Arial"/>
                <w:sz w:val="28"/>
                <w:szCs w:val="28"/>
                <w:lang w:val="en-GB"/>
              </w:rPr>
            </w:pPr>
          </w:p>
        </w:tc>
        <w:tc>
          <w:tcPr>
            <w:tcW w:w="2265" w:type="dxa"/>
          </w:tcPr>
          <w:p w14:paraId="035663FC" w14:textId="250DAC64"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 Other: </w:t>
            </w:r>
          </w:p>
        </w:tc>
        <w:tc>
          <w:tcPr>
            <w:tcW w:w="2266" w:type="dxa"/>
          </w:tcPr>
          <w:p w14:paraId="24465A52" w14:textId="77777777" w:rsidR="005E2E0B" w:rsidRPr="005E2E0B" w:rsidRDefault="005E2E0B" w:rsidP="005E2E0B">
            <w:pPr>
              <w:spacing w:before="120" w:after="0" w:line="360" w:lineRule="auto"/>
              <w:rPr>
                <w:rFonts w:ascii="Arial" w:eastAsia="Times New Roman" w:hAnsi="Arial" w:cs="Arial"/>
                <w:sz w:val="28"/>
                <w:szCs w:val="28"/>
                <w:lang w:val="en-GB"/>
              </w:rPr>
            </w:pPr>
          </w:p>
        </w:tc>
        <w:tc>
          <w:tcPr>
            <w:tcW w:w="2266" w:type="dxa"/>
          </w:tcPr>
          <w:p w14:paraId="3A03AFDD" w14:textId="77777777" w:rsidR="005E2E0B" w:rsidRPr="005E2E0B" w:rsidRDefault="005E2E0B" w:rsidP="005E2E0B">
            <w:pPr>
              <w:spacing w:before="120" w:after="0" w:line="360" w:lineRule="auto"/>
              <w:rPr>
                <w:rFonts w:ascii="Arial" w:eastAsia="Times New Roman" w:hAnsi="Arial" w:cs="Arial"/>
                <w:sz w:val="28"/>
                <w:szCs w:val="28"/>
                <w:lang w:val="en-GB"/>
              </w:rPr>
            </w:pPr>
          </w:p>
        </w:tc>
      </w:tr>
      <w:tr w:rsidR="005E2E0B" w:rsidRPr="005E2E0B" w14:paraId="73BBF47B" w14:textId="77777777" w:rsidTr="005E2E0B">
        <w:tc>
          <w:tcPr>
            <w:tcW w:w="2265" w:type="dxa"/>
          </w:tcPr>
          <w:p w14:paraId="481DB847" w14:textId="07FB59CF"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85258091 </w:t>
            </w:r>
          </w:p>
        </w:tc>
        <w:tc>
          <w:tcPr>
            <w:tcW w:w="2265" w:type="dxa"/>
          </w:tcPr>
          <w:p w14:paraId="37334898" w14:textId="50B10834"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 Television cameras solely for security surveillance. </w:t>
            </w:r>
          </w:p>
        </w:tc>
        <w:tc>
          <w:tcPr>
            <w:tcW w:w="2266" w:type="dxa"/>
          </w:tcPr>
          <w:p w14:paraId="4574D007" w14:textId="11048152" w:rsidR="005E2E0B" w:rsidRPr="005E2E0B" w:rsidRDefault="005E2E0B" w:rsidP="005E2E0B">
            <w:pPr>
              <w:spacing w:before="120" w:after="0" w:line="360" w:lineRule="auto"/>
              <w:rPr>
                <w:rFonts w:ascii="Arial" w:eastAsia="Times New Roman" w:hAnsi="Arial" w:cs="Arial"/>
                <w:sz w:val="28"/>
                <w:szCs w:val="28"/>
                <w:lang w:val="en-GB"/>
              </w:rPr>
            </w:pPr>
          </w:p>
        </w:tc>
        <w:tc>
          <w:tcPr>
            <w:tcW w:w="2266" w:type="dxa"/>
          </w:tcPr>
          <w:p w14:paraId="2D5D6A18" w14:textId="26BFC793"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Exemption </w:t>
            </w:r>
          </w:p>
        </w:tc>
      </w:tr>
      <w:tr w:rsidR="005E2E0B" w:rsidRPr="005E2E0B" w14:paraId="4D0E6EB0" w14:textId="77777777" w:rsidTr="005E2E0B">
        <w:tc>
          <w:tcPr>
            <w:tcW w:w="2265" w:type="dxa"/>
          </w:tcPr>
          <w:p w14:paraId="0C9F03C1" w14:textId="4210CDC0"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85258099 </w:t>
            </w:r>
          </w:p>
        </w:tc>
        <w:tc>
          <w:tcPr>
            <w:tcW w:w="2265" w:type="dxa"/>
          </w:tcPr>
          <w:p w14:paraId="4B5FBA56" w14:textId="19B206D5"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 - - - Other </w:t>
            </w:r>
          </w:p>
        </w:tc>
        <w:tc>
          <w:tcPr>
            <w:tcW w:w="2266" w:type="dxa"/>
          </w:tcPr>
          <w:p w14:paraId="327C4A10" w14:textId="4055EFCE" w:rsidR="005E2E0B" w:rsidRPr="005E2E0B" w:rsidRDefault="005E2E0B" w:rsidP="005E2E0B">
            <w:pPr>
              <w:spacing w:before="120" w:after="0" w:line="360" w:lineRule="auto"/>
              <w:rPr>
                <w:rFonts w:ascii="Arial" w:eastAsia="Times New Roman" w:hAnsi="Arial" w:cs="Arial"/>
                <w:sz w:val="28"/>
                <w:szCs w:val="28"/>
                <w:lang w:val="en-GB"/>
              </w:rPr>
            </w:pPr>
          </w:p>
        </w:tc>
        <w:tc>
          <w:tcPr>
            <w:tcW w:w="2266" w:type="dxa"/>
          </w:tcPr>
          <w:p w14:paraId="653212F7" w14:textId="23155B75" w:rsidR="005E2E0B" w:rsidRPr="005E2E0B" w:rsidRDefault="005E2E0B" w:rsidP="005E2E0B">
            <w:pPr>
              <w:spacing w:before="120" w:after="0" w:line="360" w:lineRule="auto"/>
              <w:rPr>
                <w:rFonts w:ascii="Arial" w:eastAsia="Times New Roman" w:hAnsi="Arial" w:cs="Arial"/>
                <w:sz w:val="28"/>
                <w:szCs w:val="28"/>
                <w:lang w:val="en-GB"/>
              </w:rPr>
            </w:pPr>
            <w:r w:rsidRPr="005E2E0B">
              <w:rPr>
                <w:rFonts w:ascii="Arial" w:eastAsia="Times New Roman" w:hAnsi="Arial" w:cs="Arial"/>
                <w:sz w:val="28"/>
                <w:szCs w:val="28"/>
                <w:lang w:val="en-GB"/>
              </w:rPr>
              <w:t>Exemption </w:t>
            </w:r>
          </w:p>
        </w:tc>
      </w:tr>
    </w:tbl>
    <w:p w14:paraId="10546E11"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Article Four </w:t>
      </w:r>
    </w:p>
    <w:p w14:paraId="120F4085"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The President of Customs shall implement the provisions of this Decision, and it shall come into force from the day following the date of its publication in the Official Gazette. </w:t>
      </w:r>
    </w:p>
    <w:p w14:paraId="6E2AE696"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Lieutenant General </w:t>
      </w:r>
    </w:p>
    <w:p w14:paraId="7EDCF223"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Minister of the Interior </w:t>
      </w:r>
    </w:p>
    <w:p w14:paraId="7D422D69"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b/>
          <w:bCs/>
          <w:sz w:val="28"/>
          <w:szCs w:val="28"/>
          <w:lang w:val="en-GB"/>
        </w:rPr>
        <w:t>Rashid bin Abdullah Al Khalifa </w:t>
      </w:r>
    </w:p>
    <w:p w14:paraId="6ED5095B"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lastRenderedPageBreak/>
        <w:t>Issued on: 26 Dhu al-Qi'dah 1444 A.H. </w:t>
      </w:r>
    </w:p>
    <w:p w14:paraId="7DD4DDC4" w14:textId="77777777" w:rsidR="00EC7331" w:rsidRPr="00EC7331" w:rsidRDefault="00EC7331" w:rsidP="00047D59">
      <w:pPr>
        <w:spacing w:before="120" w:after="0" w:line="360" w:lineRule="auto"/>
        <w:rPr>
          <w:rFonts w:ascii="Arial" w:eastAsia="Times New Roman" w:hAnsi="Arial" w:cs="Arial"/>
          <w:sz w:val="28"/>
          <w:szCs w:val="28"/>
          <w:lang w:val="en-GB"/>
        </w:rPr>
      </w:pPr>
      <w:r w:rsidRPr="00EC7331">
        <w:rPr>
          <w:rFonts w:ascii="Arial" w:eastAsia="Times New Roman" w:hAnsi="Arial" w:cs="Arial"/>
          <w:sz w:val="28"/>
          <w:szCs w:val="28"/>
          <w:lang w:val="en-GB"/>
        </w:rPr>
        <w:t>Corresponding to: 15 June 2023 </w:t>
      </w:r>
    </w:p>
    <w:p w14:paraId="6A4CB631" w14:textId="77777777" w:rsidR="00EC7331" w:rsidRPr="00EC7331" w:rsidRDefault="00EC7331" w:rsidP="00047D59">
      <w:pPr>
        <w:spacing w:before="120" w:after="0" w:line="360" w:lineRule="auto"/>
        <w:rPr>
          <w:rFonts w:ascii="Arial" w:eastAsia="Times New Roman" w:hAnsi="Arial" w:cs="Arial"/>
          <w:b/>
          <w:bCs/>
          <w:sz w:val="28"/>
          <w:szCs w:val="28"/>
        </w:rPr>
      </w:pPr>
    </w:p>
    <w:p w14:paraId="1BF657BC" w14:textId="77777777" w:rsidR="00EC7331" w:rsidRPr="00EC7331" w:rsidRDefault="00EC7331" w:rsidP="00047D59">
      <w:pPr>
        <w:spacing w:before="120" w:after="0" w:line="360" w:lineRule="auto"/>
        <w:rPr>
          <w:rFonts w:ascii="Arial" w:hAnsi="Arial" w:cs="Arial"/>
          <w:sz w:val="28"/>
          <w:szCs w:val="28"/>
        </w:rPr>
      </w:pPr>
    </w:p>
    <w:sectPr w:rsidR="00EC7331" w:rsidRPr="00EC7331" w:rsidSect="00B3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71313"/>
    <w:multiLevelType w:val="hybridMultilevel"/>
    <w:tmpl w:val="C6789B02"/>
    <w:lvl w:ilvl="0" w:tplc="C1A21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2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1"/>
    <w:rsid w:val="000129C5"/>
    <w:rsid w:val="00047D59"/>
    <w:rsid w:val="0044188F"/>
    <w:rsid w:val="005C7FAF"/>
    <w:rsid w:val="005E2E0B"/>
    <w:rsid w:val="00946FD6"/>
    <w:rsid w:val="00AD4C35"/>
    <w:rsid w:val="00B32739"/>
    <w:rsid w:val="00BD6D1C"/>
    <w:rsid w:val="00EC73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F32D"/>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7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2024-05-14T10:04:00Z</dcterms:created>
  <dcterms:modified xsi:type="dcterms:W3CDTF">2024-05-22T14:53:00Z</dcterms:modified>
</cp:coreProperties>
</file>