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6212" w14:textId="77777777" w:rsidR="00845634" w:rsidRPr="00845634" w:rsidRDefault="00845634" w:rsidP="00845634">
      <w:pPr>
        <w:spacing w:line="360" w:lineRule="auto"/>
        <w:rPr>
          <w:rFonts w:ascii="Arial" w:hAnsi="Arial" w:cs="Arial"/>
          <w:b/>
          <w:bCs/>
          <w:sz w:val="28"/>
          <w:szCs w:val="28"/>
          <w:lang w:val="en-GB"/>
        </w:rPr>
      </w:pPr>
      <w:r w:rsidRPr="00845634">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6CECD369" w14:textId="77777777" w:rsidR="00845634" w:rsidRPr="00845634" w:rsidRDefault="00845634" w:rsidP="00845634">
      <w:pPr>
        <w:spacing w:line="360" w:lineRule="auto"/>
        <w:rPr>
          <w:rFonts w:ascii="Arial" w:hAnsi="Arial" w:cs="Arial"/>
          <w:b/>
          <w:bCs/>
          <w:sz w:val="28"/>
          <w:szCs w:val="28"/>
          <w:lang w:val="en-GB"/>
        </w:rPr>
      </w:pPr>
      <w:r w:rsidRPr="00845634">
        <w:rPr>
          <w:rFonts w:ascii="Arial" w:hAnsi="Arial" w:cs="Arial"/>
          <w:b/>
          <w:bCs/>
          <w:sz w:val="28"/>
          <w:szCs w:val="28"/>
          <w:lang w:val="en-GB"/>
        </w:rPr>
        <w:t>For any corrections, remarks, or suggestions, kindly contact us on translate@lloc.gov.bh</w:t>
      </w:r>
    </w:p>
    <w:p w14:paraId="6D09347F" w14:textId="54775ACE" w:rsidR="00845634" w:rsidRPr="00845634" w:rsidRDefault="00845634" w:rsidP="00845634">
      <w:pPr>
        <w:spacing w:line="360" w:lineRule="auto"/>
        <w:rPr>
          <w:rFonts w:ascii="Arial" w:hAnsi="Arial" w:cs="Arial"/>
          <w:b/>
          <w:bCs/>
          <w:sz w:val="28"/>
          <w:szCs w:val="28"/>
          <w:lang w:val="en-GB"/>
        </w:rPr>
      </w:pPr>
      <w:r w:rsidRPr="00845634">
        <w:rPr>
          <w:rFonts w:ascii="Arial" w:hAnsi="Arial" w:cs="Arial"/>
          <w:b/>
          <w:bCs/>
          <w:sz w:val="28"/>
          <w:szCs w:val="28"/>
          <w:lang w:val="en-GB"/>
        </w:rPr>
        <w:t>Published on the website on April 2025</w:t>
      </w:r>
      <w:r w:rsidRPr="00845634">
        <w:rPr>
          <w:rFonts w:ascii="Arial" w:hAnsi="Arial" w:cs="Arial"/>
          <w:b/>
          <w:bCs/>
          <w:sz w:val="28"/>
          <w:szCs w:val="28"/>
          <w:lang w:val="en-GB"/>
        </w:rPr>
        <w:br w:type="page"/>
      </w:r>
    </w:p>
    <w:p w14:paraId="3BC3DEDB" w14:textId="773CA815" w:rsidR="00B819A1" w:rsidRPr="00845634" w:rsidRDefault="00B819A1" w:rsidP="00845634">
      <w:pPr>
        <w:spacing w:line="360" w:lineRule="auto"/>
        <w:jc w:val="both"/>
        <w:rPr>
          <w:rFonts w:ascii="Arial" w:hAnsi="Arial" w:cs="Arial"/>
          <w:b/>
          <w:bCs/>
          <w:sz w:val="28"/>
          <w:szCs w:val="28"/>
          <w:lang w:val="en-GB"/>
        </w:rPr>
      </w:pPr>
      <w:r w:rsidRPr="00845634">
        <w:rPr>
          <w:rFonts w:ascii="Arial" w:hAnsi="Arial" w:cs="Arial"/>
          <w:b/>
          <w:bCs/>
          <w:sz w:val="28"/>
          <w:szCs w:val="28"/>
          <w:lang w:val="en-GB"/>
        </w:rPr>
        <w:lastRenderedPageBreak/>
        <w:t>Ministry of Interior</w:t>
      </w:r>
    </w:p>
    <w:p w14:paraId="64493CCA" w14:textId="77777777" w:rsidR="00B819A1" w:rsidRPr="00845634" w:rsidRDefault="00B819A1" w:rsidP="007F2CB4">
      <w:pPr>
        <w:spacing w:line="360" w:lineRule="auto"/>
        <w:jc w:val="center"/>
        <w:rPr>
          <w:rFonts w:ascii="Arial" w:hAnsi="Arial" w:cs="Arial"/>
          <w:b/>
          <w:bCs/>
          <w:sz w:val="28"/>
          <w:szCs w:val="28"/>
          <w:lang w:val="en-GB"/>
        </w:rPr>
      </w:pPr>
      <w:r w:rsidRPr="00845634">
        <w:rPr>
          <w:rFonts w:ascii="Arial" w:hAnsi="Arial" w:cs="Arial"/>
          <w:b/>
          <w:bCs/>
          <w:sz w:val="28"/>
          <w:szCs w:val="28"/>
          <w:lang w:val="en-GB"/>
        </w:rPr>
        <w:t>Decision No. (16) of 2024 Amending Clause (22) of the Schedule Attached to Decision No. (196) of 2014 regarding Fees for Services Provided by the General Directorate of Nationality, Passports, and Residence</w:t>
      </w:r>
    </w:p>
    <w:p w14:paraId="68AE0B4A"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Minister of Interior:</w:t>
      </w:r>
    </w:p>
    <w:p w14:paraId="77F40406"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Having reviewed the Decision No. (196) of 2014 regarding the Fees for Services provided by the General Directorate of Nationality, Passports, and Residence, as amended,</w:t>
      </w:r>
    </w:p>
    <w:p w14:paraId="674B5AD4"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And upon the submission of the Undersecretary for Nationality, Passports, and Residence Affairs,</w:t>
      </w:r>
    </w:p>
    <w:p w14:paraId="50E87292"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And after the approval of the Cabinet,</w:t>
      </w:r>
    </w:p>
    <w:p w14:paraId="0080390A"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Hereby Decides:</w:t>
      </w:r>
    </w:p>
    <w:p w14:paraId="5218DA9F"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Article One</w:t>
      </w:r>
    </w:p>
    <w:p w14:paraId="1E87E320"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The text of Clause (22) in the schedule attached to Decision No. (196) of 2014 regarding Fees for Services Provided by the General Directorate of Nationality, Passports, and Residence shall be replaced with the text shown in the following schedule:</w:t>
      </w:r>
    </w:p>
    <w:tbl>
      <w:tblPr>
        <w:tblStyle w:val="TableGrid"/>
        <w:tblW w:w="0" w:type="auto"/>
        <w:tblLook w:val="04A0" w:firstRow="1" w:lastRow="0" w:firstColumn="1" w:lastColumn="0" w:noHBand="0" w:noVBand="1"/>
      </w:tblPr>
      <w:tblGrid>
        <w:gridCol w:w="2101"/>
        <w:gridCol w:w="5653"/>
        <w:gridCol w:w="710"/>
        <w:gridCol w:w="886"/>
      </w:tblGrid>
      <w:tr w:rsidR="000B6D0D" w:rsidRPr="00845634" w14:paraId="3C0EEEFB" w14:textId="77777777" w:rsidTr="00907F9E">
        <w:tc>
          <w:tcPr>
            <w:tcW w:w="2112" w:type="dxa"/>
            <w:vMerge w:val="restart"/>
            <w:shd w:val="clear" w:color="auto" w:fill="D1D1D1" w:themeFill="background2" w:themeFillShade="E6"/>
            <w:vAlign w:val="center"/>
          </w:tcPr>
          <w:p w14:paraId="26388E28" w14:textId="77777777" w:rsidR="000B6D0D" w:rsidRPr="00845634" w:rsidRDefault="000B6D0D" w:rsidP="00845634">
            <w:pPr>
              <w:spacing w:line="360" w:lineRule="auto"/>
              <w:jc w:val="center"/>
              <w:rPr>
                <w:rFonts w:ascii="Arial" w:hAnsi="Arial" w:cs="Arial"/>
                <w:sz w:val="28"/>
                <w:szCs w:val="28"/>
                <w:lang w:val="en-GB"/>
              </w:rPr>
            </w:pPr>
            <w:r w:rsidRPr="00845634">
              <w:rPr>
                <w:rFonts w:ascii="Arial" w:hAnsi="Arial" w:cs="Arial"/>
                <w:sz w:val="28"/>
                <w:szCs w:val="28"/>
                <w:lang w:val="en-GB"/>
              </w:rPr>
              <w:t>v</w:t>
            </w:r>
          </w:p>
        </w:tc>
        <w:tc>
          <w:tcPr>
            <w:tcW w:w="5680" w:type="dxa"/>
            <w:vMerge w:val="restart"/>
            <w:shd w:val="clear" w:color="auto" w:fill="D1D1D1" w:themeFill="background2" w:themeFillShade="E6"/>
            <w:vAlign w:val="center"/>
          </w:tcPr>
          <w:p w14:paraId="62B257F7" w14:textId="77777777" w:rsidR="000B6D0D" w:rsidRPr="00845634" w:rsidRDefault="000B6D0D" w:rsidP="00845634">
            <w:pPr>
              <w:spacing w:line="360" w:lineRule="auto"/>
              <w:jc w:val="center"/>
              <w:rPr>
                <w:rFonts w:ascii="Arial" w:hAnsi="Arial" w:cs="Arial"/>
                <w:sz w:val="28"/>
                <w:szCs w:val="28"/>
                <w:lang w:val="en-GB"/>
              </w:rPr>
            </w:pPr>
            <w:r w:rsidRPr="00845634">
              <w:rPr>
                <w:rFonts w:ascii="Arial" w:hAnsi="Arial" w:cs="Arial"/>
                <w:sz w:val="28"/>
                <w:szCs w:val="28"/>
                <w:lang w:val="en-GB"/>
              </w:rPr>
              <w:t>Service</w:t>
            </w:r>
          </w:p>
        </w:tc>
        <w:tc>
          <w:tcPr>
            <w:tcW w:w="1558" w:type="dxa"/>
            <w:gridSpan w:val="2"/>
            <w:shd w:val="clear" w:color="auto" w:fill="D1D1D1" w:themeFill="background2" w:themeFillShade="E6"/>
            <w:vAlign w:val="center"/>
          </w:tcPr>
          <w:p w14:paraId="770CAB27" w14:textId="79433AC7" w:rsidR="000B6D0D" w:rsidRPr="00845634" w:rsidRDefault="000B6D0D" w:rsidP="00845634">
            <w:pPr>
              <w:spacing w:line="360" w:lineRule="auto"/>
              <w:jc w:val="center"/>
              <w:rPr>
                <w:rFonts w:ascii="Arial" w:hAnsi="Arial" w:cs="Arial"/>
                <w:sz w:val="28"/>
                <w:szCs w:val="28"/>
                <w:lang w:val="en-GB"/>
              </w:rPr>
            </w:pPr>
            <w:r w:rsidRPr="00845634">
              <w:rPr>
                <w:rFonts w:ascii="Arial" w:hAnsi="Arial" w:cs="Arial"/>
                <w:sz w:val="28"/>
                <w:szCs w:val="28"/>
                <w:lang w:val="en-GB"/>
              </w:rPr>
              <w:t>Fee Amount</w:t>
            </w:r>
          </w:p>
        </w:tc>
      </w:tr>
      <w:tr w:rsidR="000B6D0D" w:rsidRPr="00845634" w14:paraId="2662DAA9" w14:textId="77777777" w:rsidTr="00907F9E">
        <w:tc>
          <w:tcPr>
            <w:tcW w:w="2112" w:type="dxa"/>
            <w:vMerge/>
            <w:shd w:val="clear" w:color="auto" w:fill="D1D1D1" w:themeFill="background2" w:themeFillShade="E6"/>
            <w:vAlign w:val="center"/>
          </w:tcPr>
          <w:p w14:paraId="6405B82C" w14:textId="77777777" w:rsidR="000B6D0D" w:rsidRPr="00845634" w:rsidRDefault="000B6D0D" w:rsidP="00845634">
            <w:pPr>
              <w:spacing w:line="360" w:lineRule="auto"/>
              <w:jc w:val="center"/>
              <w:rPr>
                <w:rFonts w:ascii="Arial" w:hAnsi="Arial" w:cs="Arial"/>
                <w:sz w:val="28"/>
                <w:szCs w:val="28"/>
                <w:lang w:val="en-GB"/>
              </w:rPr>
            </w:pPr>
          </w:p>
        </w:tc>
        <w:tc>
          <w:tcPr>
            <w:tcW w:w="5680" w:type="dxa"/>
            <w:vMerge/>
            <w:shd w:val="clear" w:color="auto" w:fill="D1D1D1" w:themeFill="background2" w:themeFillShade="E6"/>
            <w:vAlign w:val="center"/>
          </w:tcPr>
          <w:p w14:paraId="4A775DC1" w14:textId="77777777" w:rsidR="000B6D0D" w:rsidRPr="00845634" w:rsidRDefault="000B6D0D" w:rsidP="00845634">
            <w:pPr>
              <w:spacing w:line="360" w:lineRule="auto"/>
              <w:jc w:val="center"/>
              <w:rPr>
                <w:rFonts w:ascii="Arial" w:hAnsi="Arial" w:cs="Arial"/>
                <w:sz w:val="28"/>
                <w:szCs w:val="28"/>
                <w:lang w:val="en-GB"/>
              </w:rPr>
            </w:pPr>
          </w:p>
        </w:tc>
        <w:tc>
          <w:tcPr>
            <w:tcW w:w="710" w:type="dxa"/>
            <w:shd w:val="clear" w:color="auto" w:fill="D1D1D1" w:themeFill="background2" w:themeFillShade="E6"/>
            <w:vAlign w:val="center"/>
          </w:tcPr>
          <w:p w14:paraId="605492EC" w14:textId="13B63404" w:rsidR="000B6D0D" w:rsidRPr="00845634" w:rsidRDefault="003044D1" w:rsidP="00845634">
            <w:pPr>
              <w:spacing w:line="360" w:lineRule="auto"/>
              <w:jc w:val="center"/>
              <w:rPr>
                <w:rFonts w:ascii="Arial" w:hAnsi="Arial" w:cs="Arial"/>
                <w:sz w:val="28"/>
                <w:szCs w:val="28"/>
                <w:lang w:val="en-GB"/>
              </w:rPr>
            </w:pPr>
            <w:r w:rsidRPr="00845634">
              <w:rPr>
                <w:rFonts w:ascii="Arial" w:hAnsi="Arial" w:cs="Arial"/>
                <w:sz w:val="28"/>
                <w:szCs w:val="28"/>
                <w:lang w:val="en-GB"/>
              </w:rPr>
              <w:t>Fils</w:t>
            </w:r>
          </w:p>
        </w:tc>
        <w:tc>
          <w:tcPr>
            <w:tcW w:w="848" w:type="dxa"/>
            <w:shd w:val="clear" w:color="auto" w:fill="D1D1D1" w:themeFill="background2" w:themeFillShade="E6"/>
            <w:vAlign w:val="center"/>
          </w:tcPr>
          <w:p w14:paraId="27955176" w14:textId="3E2E9375" w:rsidR="000B6D0D" w:rsidRPr="00845634" w:rsidRDefault="003044D1" w:rsidP="00845634">
            <w:pPr>
              <w:spacing w:line="360" w:lineRule="auto"/>
              <w:jc w:val="center"/>
              <w:rPr>
                <w:rFonts w:ascii="Arial" w:hAnsi="Arial" w:cs="Arial"/>
                <w:sz w:val="28"/>
                <w:szCs w:val="28"/>
                <w:lang w:val="en-GB"/>
              </w:rPr>
            </w:pPr>
            <w:r w:rsidRPr="00845634">
              <w:rPr>
                <w:rFonts w:ascii="Arial" w:hAnsi="Arial" w:cs="Arial"/>
                <w:sz w:val="28"/>
                <w:szCs w:val="28"/>
                <w:lang w:val="en-GB"/>
              </w:rPr>
              <w:t>Dinar</w:t>
            </w:r>
          </w:p>
        </w:tc>
      </w:tr>
      <w:tr w:rsidR="000B6D0D" w:rsidRPr="00845634" w14:paraId="10564DCE" w14:textId="77777777" w:rsidTr="00907F9E">
        <w:trPr>
          <w:trHeight w:val="727"/>
        </w:trPr>
        <w:tc>
          <w:tcPr>
            <w:tcW w:w="2112" w:type="dxa"/>
            <w:vAlign w:val="center"/>
          </w:tcPr>
          <w:p w14:paraId="23F2D7BF" w14:textId="34ED9208" w:rsidR="000B6D0D" w:rsidRPr="00845634" w:rsidRDefault="000B6D0D" w:rsidP="00845634">
            <w:pPr>
              <w:spacing w:line="360" w:lineRule="auto"/>
              <w:jc w:val="center"/>
              <w:rPr>
                <w:rFonts w:ascii="Arial" w:hAnsi="Arial" w:cs="Arial"/>
                <w:sz w:val="28"/>
                <w:szCs w:val="28"/>
                <w:lang w:val="en-GB"/>
              </w:rPr>
            </w:pPr>
            <w:r w:rsidRPr="00845634">
              <w:rPr>
                <w:rFonts w:ascii="Arial" w:hAnsi="Arial" w:cs="Arial"/>
                <w:sz w:val="28"/>
                <w:szCs w:val="28"/>
                <w:lang w:val="en-GB"/>
              </w:rPr>
              <w:lastRenderedPageBreak/>
              <w:t>22</w:t>
            </w:r>
          </w:p>
        </w:tc>
        <w:tc>
          <w:tcPr>
            <w:tcW w:w="5680" w:type="dxa"/>
            <w:vAlign w:val="center"/>
          </w:tcPr>
          <w:p w14:paraId="364B7595" w14:textId="0D4CE894" w:rsidR="000B6D0D" w:rsidRPr="00845634" w:rsidRDefault="000B6D0D" w:rsidP="00845634">
            <w:pPr>
              <w:spacing w:line="360" w:lineRule="auto"/>
              <w:rPr>
                <w:rFonts w:ascii="Arial" w:hAnsi="Arial" w:cs="Arial"/>
                <w:sz w:val="28"/>
                <w:szCs w:val="28"/>
                <w:lang w:val="en-GB"/>
              </w:rPr>
            </w:pPr>
            <w:r w:rsidRPr="00845634">
              <w:rPr>
                <w:rFonts w:ascii="Arial" w:hAnsi="Arial" w:cs="Arial"/>
                <w:sz w:val="28"/>
                <w:szCs w:val="28"/>
                <w:lang w:val="en-GB"/>
              </w:rPr>
              <w:t xml:space="preserve">Converting a visit visa—for the same guarantor—into a work or joining </w:t>
            </w:r>
            <w:proofErr w:type="gramStart"/>
            <w:r w:rsidRPr="00845634">
              <w:rPr>
                <w:rFonts w:ascii="Arial" w:hAnsi="Arial" w:cs="Arial"/>
                <w:sz w:val="28"/>
                <w:szCs w:val="28"/>
                <w:lang w:val="en-GB"/>
              </w:rPr>
              <w:t>visa, and</w:t>
            </w:r>
            <w:proofErr w:type="gramEnd"/>
            <w:r w:rsidRPr="00845634">
              <w:rPr>
                <w:rFonts w:ascii="Arial" w:hAnsi="Arial" w:cs="Arial"/>
                <w:sz w:val="28"/>
                <w:szCs w:val="28"/>
                <w:lang w:val="en-GB"/>
              </w:rPr>
              <w:t xml:space="preserve"> converting a joining visa into a work visa.</w:t>
            </w:r>
          </w:p>
        </w:tc>
        <w:tc>
          <w:tcPr>
            <w:tcW w:w="710" w:type="dxa"/>
            <w:vAlign w:val="center"/>
          </w:tcPr>
          <w:p w14:paraId="07EA9BA4" w14:textId="475A2A14" w:rsidR="000B6D0D" w:rsidRPr="00845634" w:rsidRDefault="003044D1" w:rsidP="00845634">
            <w:pPr>
              <w:spacing w:line="360" w:lineRule="auto"/>
              <w:jc w:val="center"/>
              <w:rPr>
                <w:rFonts w:ascii="Arial" w:hAnsi="Arial" w:cs="Arial"/>
                <w:sz w:val="28"/>
                <w:szCs w:val="28"/>
                <w:lang w:val="en-GB"/>
              </w:rPr>
            </w:pPr>
            <w:r w:rsidRPr="00845634">
              <w:rPr>
                <w:rFonts w:ascii="Arial" w:hAnsi="Arial" w:cs="Arial"/>
                <w:sz w:val="28"/>
                <w:szCs w:val="28"/>
                <w:lang w:val="en-GB"/>
              </w:rPr>
              <w:t>-</w:t>
            </w:r>
          </w:p>
        </w:tc>
        <w:tc>
          <w:tcPr>
            <w:tcW w:w="848" w:type="dxa"/>
            <w:vAlign w:val="center"/>
          </w:tcPr>
          <w:p w14:paraId="4E619322" w14:textId="6C23B9B7" w:rsidR="000B6D0D" w:rsidRPr="00845634" w:rsidRDefault="003044D1" w:rsidP="00845634">
            <w:pPr>
              <w:spacing w:line="360" w:lineRule="auto"/>
              <w:jc w:val="center"/>
              <w:rPr>
                <w:rFonts w:ascii="Arial" w:hAnsi="Arial" w:cs="Arial"/>
                <w:sz w:val="28"/>
                <w:szCs w:val="28"/>
                <w:lang w:val="en-GB"/>
              </w:rPr>
            </w:pPr>
            <w:r w:rsidRPr="00845634">
              <w:rPr>
                <w:rFonts w:ascii="Arial" w:hAnsi="Arial" w:cs="Arial"/>
                <w:sz w:val="28"/>
                <w:szCs w:val="28"/>
                <w:lang w:val="en-GB"/>
              </w:rPr>
              <w:t>250</w:t>
            </w:r>
          </w:p>
        </w:tc>
      </w:tr>
    </w:tbl>
    <w:p w14:paraId="5E90F3F8" w14:textId="77777777" w:rsidR="000B6D0D" w:rsidRPr="00845634" w:rsidRDefault="000B6D0D" w:rsidP="00845634">
      <w:pPr>
        <w:spacing w:line="360" w:lineRule="auto"/>
        <w:jc w:val="both"/>
        <w:rPr>
          <w:rFonts w:ascii="Arial" w:hAnsi="Arial" w:cs="Arial"/>
          <w:sz w:val="28"/>
          <w:szCs w:val="28"/>
          <w:lang w:val="en-GB"/>
        </w:rPr>
      </w:pPr>
    </w:p>
    <w:p w14:paraId="55D7BB2D" w14:textId="24C96E15"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Article Two</w:t>
      </w:r>
    </w:p>
    <w:p w14:paraId="50349234"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The Undersecretary for Nationality, Passports, and Residence Affairs shall implement the provisions of this Decision, and it shall come into force from the day following the date of its publication in the Official Gazette.</w:t>
      </w:r>
    </w:p>
    <w:p w14:paraId="0BD9A691"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Lieutenant General</w:t>
      </w:r>
    </w:p>
    <w:p w14:paraId="37D7BBB4"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Minister of Interior</w:t>
      </w:r>
    </w:p>
    <w:p w14:paraId="6A48B69D"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Rashid bin Abdullah Al Khalifa</w:t>
      </w:r>
    </w:p>
    <w:p w14:paraId="02929728"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Issued on:</w:t>
      </w:r>
    </w:p>
    <w:p w14:paraId="4CBD7F25"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25 Rajab 1445 AH,</w:t>
      </w:r>
    </w:p>
    <w:p w14:paraId="1CC38F54"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Corresponding to:</w:t>
      </w:r>
    </w:p>
    <w:p w14:paraId="155E4EAD" w14:textId="77777777" w:rsidR="00B819A1" w:rsidRPr="00845634" w:rsidRDefault="00B819A1" w:rsidP="00845634">
      <w:pPr>
        <w:spacing w:line="360" w:lineRule="auto"/>
        <w:jc w:val="both"/>
        <w:rPr>
          <w:rFonts w:ascii="Arial" w:hAnsi="Arial" w:cs="Arial"/>
          <w:sz w:val="28"/>
          <w:szCs w:val="28"/>
          <w:lang w:val="en-GB"/>
        </w:rPr>
      </w:pPr>
      <w:r w:rsidRPr="00845634">
        <w:rPr>
          <w:rFonts w:ascii="Arial" w:hAnsi="Arial" w:cs="Arial"/>
          <w:sz w:val="28"/>
          <w:szCs w:val="28"/>
          <w:lang w:val="en-GB"/>
        </w:rPr>
        <w:t>6 February 2024.</w:t>
      </w:r>
    </w:p>
    <w:p w14:paraId="08563496" w14:textId="77777777" w:rsidR="00775894" w:rsidRPr="00845634" w:rsidRDefault="00775894" w:rsidP="00845634">
      <w:pPr>
        <w:spacing w:line="360" w:lineRule="auto"/>
        <w:rPr>
          <w:rFonts w:ascii="Arial" w:hAnsi="Arial" w:cs="Arial"/>
          <w:sz w:val="28"/>
          <w:szCs w:val="28"/>
        </w:rPr>
      </w:pPr>
    </w:p>
    <w:sectPr w:rsidR="00775894" w:rsidRPr="00845634" w:rsidSect="0084563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E1AF" w14:textId="77777777" w:rsidR="003A4404" w:rsidRDefault="003A4404" w:rsidP="00765A15">
      <w:pPr>
        <w:spacing w:after="0" w:line="240" w:lineRule="auto"/>
      </w:pPr>
      <w:r>
        <w:separator/>
      </w:r>
    </w:p>
  </w:endnote>
  <w:endnote w:type="continuationSeparator" w:id="0">
    <w:p w14:paraId="63D552B8" w14:textId="77777777" w:rsidR="003A4404" w:rsidRDefault="003A4404" w:rsidP="00765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F596" w14:textId="77777777" w:rsidR="00765A15" w:rsidRDefault="0076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04302" w14:textId="77777777" w:rsidR="00765A15" w:rsidRDefault="00765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0AD3" w14:textId="77777777" w:rsidR="00765A15" w:rsidRDefault="0076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AF0FB" w14:textId="77777777" w:rsidR="003A4404" w:rsidRDefault="003A4404" w:rsidP="00765A15">
      <w:pPr>
        <w:spacing w:after="0" w:line="240" w:lineRule="auto"/>
      </w:pPr>
      <w:r>
        <w:separator/>
      </w:r>
    </w:p>
  </w:footnote>
  <w:footnote w:type="continuationSeparator" w:id="0">
    <w:p w14:paraId="40E229C7" w14:textId="77777777" w:rsidR="003A4404" w:rsidRDefault="003A4404" w:rsidP="00765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0A73B" w14:textId="77777777" w:rsidR="00765A15" w:rsidRDefault="0076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8669" w14:textId="435402AE" w:rsidR="00765A15" w:rsidRDefault="00765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91CC" w14:textId="77777777" w:rsidR="00765A15" w:rsidRDefault="00765A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50"/>
    <w:rsid w:val="00022850"/>
    <w:rsid w:val="000B6D0D"/>
    <w:rsid w:val="000C48DB"/>
    <w:rsid w:val="001A6714"/>
    <w:rsid w:val="003044D1"/>
    <w:rsid w:val="00315EA0"/>
    <w:rsid w:val="003920D9"/>
    <w:rsid w:val="003A4404"/>
    <w:rsid w:val="0043297E"/>
    <w:rsid w:val="00477362"/>
    <w:rsid w:val="00617811"/>
    <w:rsid w:val="006F71EB"/>
    <w:rsid w:val="00732D0D"/>
    <w:rsid w:val="00736BE2"/>
    <w:rsid w:val="00765A15"/>
    <w:rsid w:val="00766629"/>
    <w:rsid w:val="00775894"/>
    <w:rsid w:val="007F2CB4"/>
    <w:rsid w:val="00803B52"/>
    <w:rsid w:val="00845634"/>
    <w:rsid w:val="00907F9E"/>
    <w:rsid w:val="00936A02"/>
    <w:rsid w:val="00A02C95"/>
    <w:rsid w:val="00AF72B0"/>
    <w:rsid w:val="00B819A1"/>
    <w:rsid w:val="00C372F5"/>
    <w:rsid w:val="00C56A39"/>
    <w:rsid w:val="00CB5DD1"/>
    <w:rsid w:val="00F17E17"/>
    <w:rsid w:val="00F4663F"/>
    <w:rsid w:val="61AEC514"/>
    <w:rsid w:val="7D0E1A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3BE12"/>
  <w15:docId w15:val="{CA784D43-CAC3-4B08-8566-40A6A2547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765A15"/>
    <w:pPr>
      <w:spacing w:after="0" w:line="240" w:lineRule="auto"/>
    </w:pPr>
  </w:style>
  <w:style w:type="paragraph" w:styleId="Header">
    <w:name w:val="header"/>
    <w:basedOn w:val="Normal"/>
    <w:link w:val="HeaderChar"/>
    <w:uiPriority w:val="99"/>
    <w:unhideWhenUsed/>
    <w:rsid w:val="00765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A15"/>
  </w:style>
  <w:style w:type="paragraph" w:styleId="Footer">
    <w:name w:val="footer"/>
    <w:basedOn w:val="Normal"/>
    <w:link w:val="FooterChar"/>
    <w:uiPriority w:val="99"/>
    <w:unhideWhenUsed/>
    <w:rsid w:val="00765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A15"/>
  </w:style>
  <w:style w:type="character" w:styleId="CommentReference">
    <w:name w:val="annotation reference"/>
    <w:basedOn w:val="DefaultParagraphFont"/>
    <w:uiPriority w:val="99"/>
    <w:semiHidden/>
    <w:unhideWhenUsed/>
    <w:rsid w:val="00936A02"/>
    <w:rPr>
      <w:sz w:val="16"/>
      <w:szCs w:val="16"/>
    </w:rPr>
  </w:style>
  <w:style w:type="paragraph" w:styleId="CommentText">
    <w:name w:val="annotation text"/>
    <w:basedOn w:val="Normal"/>
    <w:link w:val="CommentTextChar"/>
    <w:uiPriority w:val="99"/>
    <w:semiHidden/>
    <w:unhideWhenUsed/>
    <w:rsid w:val="00936A02"/>
    <w:pPr>
      <w:spacing w:line="240" w:lineRule="auto"/>
    </w:pPr>
    <w:rPr>
      <w:sz w:val="20"/>
      <w:szCs w:val="20"/>
    </w:rPr>
  </w:style>
  <w:style w:type="character" w:customStyle="1" w:styleId="CommentTextChar">
    <w:name w:val="Comment Text Char"/>
    <w:basedOn w:val="DefaultParagraphFont"/>
    <w:link w:val="CommentText"/>
    <w:uiPriority w:val="99"/>
    <w:semiHidden/>
    <w:rsid w:val="00936A02"/>
    <w:rPr>
      <w:sz w:val="20"/>
      <w:szCs w:val="20"/>
    </w:rPr>
  </w:style>
  <w:style w:type="paragraph" w:styleId="CommentSubject">
    <w:name w:val="annotation subject"/>
    <w:basedOn w:val="CommentText"/>
    <w:next w:val="CommentText"/>
    <w:link w:val="CommentSubjectChar"/>
    <w:uiPriority w:val="99"/>
    <w:semiHidden/>
    <w:unhideWhenUsed/>
    <w:rsid w:val="00936A02"/>
    <w:rPr>
      <w:b/>
      <w:bCs/>
    </w:rPr>
  </w:style>
  <w:style w:type="character" w:customStyle="1" w:styleId="CommentSubjectChar">
    <w:name w:val="Comment Subject Char"/>
    <w:basedOn w:val="CommentTextChar"/>
    <w:link w:val="CommentSubject"/>
    <w:uiPriority w:val="99"/>
    <w:semiHidden/>
    <w:rsid w:val="00936A02"/>
    <w:rPr>
      <w:b/>
      <w:bCs/>
      <w:sz w:val="20"/>
      <w:szCs w:val="20"/>
    </w:rPr>
  </w:style>
  <w:style w:type="paragraph" w:styleId="BalloonText">
    <w:name w:val="Balloon Text"/>
    <w:basedOn w:val="Normal"/>
    <w:link w:val="BalloonTextChar"/>
    <w:uiPriority w:val="99"/>
    <w:semiHidden/>
    <w:unhideWhenUsed/>
    <w:rsid w:val="00936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b631be3f-37f6-4ffb-8f9a-ce86bcb17496_1" sourcehash="-2104506128" targethash="-43646765"/>
  <segment id="9bbfaa62-c377-4b8a-95af-6b49be82f490_2" sourcehash="-1715381130" targethash="1970563917"/>
  <segment id="048c0180-cef3-4b5a-b9bb-295ec5b37a4b_3" sourcehash="796696900" targethash="-8032241"/>
  <segment id="4113151d-85bf-41ce-b59f-44650afc9c90_4" sourcehash="849767716" targethash="-1894174417"/>
  <segment id="6c65e526-0cd0-4e86-a98f-fc59b4a5f30a_5" sourcehash="-781709557" targethash="-2134685948"/>
  <segment id="f5fc5026-3b47-4714-9857-bd2e2ffacb27_6" sourcehash="203796941" targethash="683574620"/>
  <segment id="84c9f38b-6cea-4d38-b040-bcfd5ea9f0d6_7" sourcehash="-162847999" targethash="-1976331133"/>
  <segment id="c30e3041-13c7-425a-a993-995f7c1d4d23_8" sourcehash="-387415946" targethash="-424184018"/>
  <segment id="c52a5fc6-831e-426c-b5bd-c81e7e3e9929_9" sourcehash="-102944477" targethash="651016924"/>
  <segment id="efcc92e9-14fb-4cdc-997e-55903e89533b_10" sourcehash="-800100793" targethash="-800101365"/>
  <segment id="5df12e46-3f38-44fa-adda-8a0d004f09da_11" sourcehash="-1832078321" targethash="-2091930938"/>
  <segment id="dbab0cab-6b40-47c3-b059-4dea923aa36a_12" sourcehash="-1754020467" targethash="-1563126373"/>
  <segment id="1ec3b15f-f146-4974-8f1c-2c36d05c70c8_13" sourcehash="2144046504" targethash="-1114455270"/>
  <segment id="7694b2fa-9431-47d5-af5f-5806e7b92dcc_14" sourcehash="1554003192" targethash="-1508295564"/>
  <segment id="4e5c9887-3546-4b91-a305-294e9a2dc04d_15" sourcehash="-1751092800" targethash="-1751092800"/>
  <segment id="3ca0dbad-6352-450f-befa-8cdcfcd62290_16" sourcehash="1741167623" targethash="1624555223"/>
  <segment id="ccb676ce-d2e7-4d0f-bb5b-34b3ff62e611_17" sourcehash="-982352623" targethash="-982352623"/>
  <segment id="94d12a93-cec9-47c2-b61f-6ec18970b5a1_18" sourcehash="-1581179054" targethash="-1581179054"/>
  <segment id="94a1ce7b-2afa-48c3-af9f-d1d58c8f158d_19" sourcehash="-598580029" targethash="-1146132164"/>
  <segment id="9290799e-3f20-4f3b-acd6-c88702d47cf1_20" sourcehash="-1387021368" targethash="1397946398"/>
  <segment id="ebad679f-98c3-4812-af5b-83ff30084ee8_21" sourcehash="973040252" targethash="1449406429"/>
  <segment id="28994a11-f347-4fdd-9c20-f49a15e74116_22" sourcehash="1628107387" targethash="-1049397304"/>
  <segment id="dce726f1-1232-47c3-bf90-a76b66a2e256_23" sourcehash="1574009056" targethash="1699252299"/>
  <segment id="9af57d9c-0823-4b14-ab2f-ec6c9ab7a71d_24" sourcehash="188277420" targethash="975394512"/>
  <segment id="9af57d9c-0823-4b14-ab2f-ec6c9ab7a71d_25" sourcehash="1252643715" targethash="269653974"/>
  <segment id="e55e42d1-ef07-47da-95f1-9b7b3cf81377_26" sourcehash="-1711220977" targethash="-830857206"/>
  <segment id="e55e42d1-ef07-47da-95f1-9b7b3cf81377_27" sourcehash="272873594" targethash="423931958"/>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14</cp:revision>
  <dcterms:created xsi:type="dcterms:W3CDTF">2024-12-30T11:17:00Z</dcterms:created>
  <dcterms:modified xsi:type="dcterms:W3CDTF">2025-05-08T07:42:00Z</dcterms:modified>
</cp:coreProperties>
</file>