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9E67B" w14:textId="77777777" w:rsidR="0045338C" w:rsidRPr="0045338C" w:rsidRDefault="0045338C" w:rsidP="000C5D5E">
      <w:pPr>
        <w:spacing w:before="120" w:after="0" w:line="360" w:lineRule="auto"/>
        <w:rPr>
          <w:rFonts w:ascii="Arial" w:eastAsia="Times New Roman" w:hAnsi="Arial" w:cs="Arial"/>
          <w:b/>
          <w:bCs/>
          <w:sz w:val="28"/>
          <w:szCs w:val="28"/>
          <w:lang w:val="en-GB"/>
        </w:rPr>
      </w:pPr>
      <w:r w:rsidRPr="0045338C">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DBBCB5C" w14:textId="77777777" w:rsidR="0045338C" w:rsidRPr="0045338C" w:rsidRDefault="0045338C" w:rsidP="000C5D5E">
      <w:pPr>
        <w:spacing w:before="120" w:after="0" w:line="360" w:lineRule="auto"/>
        <w:rPr>
          <w:rFonts w:ascii="Arial" w:eastAsia="Times New Roman" w:hAnsi="Arial" w:cs="Arial"/>
          <w:b/>
          <w:bCs/>
          <w:sz w:val="28"/>
          <w:szCs w:val="28"/>
          <w:lang w:val="en-GB"/>
        </w:rPr>
      </w:pPr>
      <w:r w:rsidRPr="0045338C">
        <w:rPr>
          <w:rFonts w:ascii="Arial" w:eastAsia="Times New Roman" w:hAnsi="Arial" w:cs="Arial"/>
          <w:b/>
          <w:bCs/>
          <w:sz w:val="28"/>
          <w:szCs w:val="28"/>
          <w:lang w:val="en-GB"/>
        </w:rPr>
        <w:t>For any corrections, remarks, or suggestions, kindly contact us on translate@lloc.gov.bh</w:t>
      </w:r>
    </w:p>
    <w:p w14:paraId="187557A0" w14:textId="77777777" w:rsidR="0045338C" w:rsidRPr="0045338C" w:rsidRDefault="0045338C" w:rsidP="000C5D5E">
      <w:pPr>
        <w:spacing w:before="120" w:after="0" w:line="360" w:lineRule="auto"/>
        <w:rPr>
          <w:rFonts w:ascii="Arial" w:eastAsia="Times New Roman" w:hAnsi="Arial" w:cs="Arial"/>
          <w:b/>
          <w:bCs/>
          <w:sz w:val="28"/>
          <w:szCs w:val="28"/>
          <w:lang w:val="en-GB"/>
        </w:rPr>
      </w:pPr>
      <w:r w:rsidRPr="0045338C">
        <w:rPr>
          <w:rFonts w:ascii="Arial" w:eastAsia="Times New Roman" w:hAnsi="Arial" w:cs="Arial"/>
          <w:b/>
          <w:bCs/>
          <w:sz w:val="28"/>
          <w:szCs w:val="28"/>
          <w:lang w:val="en-GB"/>
        </w:rPr>
        <w:t>Published on the website on May 2024</w:t>
      </w:r>
      <w:r w:rsidRPr="0045338C">
        <w:rPr>
          <w:rFonts w:ascii="Arial" w:eastAsia="Times New Roman" w:hAnsi="Arial" w:cs="Arial"/>
          <w:b/>
          <w:bCs/>
          <w:sz w:val="28"/>
          <w:szCs w:val="28"/>
          <w:lang w:val="en-GB"/>
        </w:rPr>
        <w:br w:type="page"/>
      </w:r>
    </w:p>
    <w:p w14:paraId="68AF4860"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b/>
          <w:bCs/>
          <w:sz w:val="28"/>
          <w:szCs w:val="28"/>
          <w:lang w:val="en-GB"/>
        </w:rPr>
        <w:lastRenderedPageBreak/>
        <w:t>Ministry of Interior </w:t>
      </w:r>
    </w:p>
    <w:p w14:paraId="27786E02"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b/>
          <w:bCs/>
          <w:sz w:val="28"/>
          <w:szCs w:val="28"/>
          <w:lang w:val="en-GB"/>
        </w:rPr>
        <w:t>Decision No. (134) of 2020 amending some provisions of Decision No. (196) of 2014 regarding the Fees for Services Provided by the General Directorate of Nationality, Passports and Residence </w:t>
      </w:r>
    </w:p>
    <w:p w14:paraId="5221021D"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sz w:val="28"/>
          <w:szCs w:val="28"/>
          <w:lang w:val="en-GB"/>
        </w:rPr>
        <w:br w:type="page"/>
      </w:r>
    </w:p>
    <w:p w14:paraId="575B0600"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sz w:val="28"/>
          <w:szCs w:val="28"/>
          <w:lang w:val="en-GB"/>
        </w:rPr>
        <w:lastRenderedPageBreak/>
        <w:t>Minister of Interior: </w:t>
      </w:r>
    </w:p>
    <w:p w14:paraId="5A020451"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sz w:val="28"/>
          <w:szCs w:val="28"/>
          <w:lang w:val="en-GB"/>
        </w:rPr>
        <w:t xml:space="preserve">Having reviewed the Decision No. (196) of 2014 regarding the Fees for Services provided by the General Directorate of Nationality, Passports and Residence, as </w:t>
      </w:r>
      <w:proofErr w:type="gramStart"/>
      <w:r w:rsidRPr="0045338C">
        <w:rPr>
          <w:rFonts w:ascii="Arial" w:eastAsia="Times New Roman" w:hAnsi="Arial" w:cs="Arial"/>
          <w:sz w:val="28"/>
          <w:szCs w:val="28"/>
          <w:lang w:val="en-GB"/>
        </w:rPr>
        <w:t>amended;</w:t>
      </w:r>
      <w:proofErr w:type="gramEnd"/>
      <w:r w:rsidRPr="0045338C">
        <w:rPr>
          <w:rFonts w:ascii="Arial" w:eastAsia="Times New Roman" w:hAnsi="Arial" w:cs="Arial"/>
          <w:sz w:val="28"/>
          <w:szCs w:val="28"/>
          <w:lang w:val="en-GB"/>
        </w:rPr>
        <w:t> </w:t>
      </w:r>
    </w:p>
    <w:p w14:paraId="1A6C7ADC"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sz w:val="28"/>
          <w:szCs w:val="28"/>
          <w:lang w:val="en-GB"/>
        </w:rPr>
        <w:t xml:space="preserve">And Decision No. (197) of 2014 regarding the Countries Whose Nationals are Eligible for Electronic Visas to Enter the Kingdom of Bahrain, as </w:t>
      </w:r>
      <w:proofErr w:type="gramStart"/>
      <w:r w:rsidRPr="0045338C">
        <w:rPr>
          <w:rFonts w:ascii="Arial" w:eastAsia="Times New Roman" w:hAnsi="Arial" w:cs="Arial"/>
          <w:sz w:val="28"/>
          <w:szCs w:val="28"/>
          <w:lang w:val="en-GB"/>
        </w:rPr>
        <w:t>amended;</w:t>
      </w:r>
      <w:proofErr w:type="gramEnd"/>
      <w:r w:rsidRPr="0045338C">
        <w:rPr>
          <w:rFonts w:ascii="Arial" w:eastAsia="Times New Roman" w:hAnsi="Arial" w:cs="Arial"/>
          <w:sz w:val="28"/>
          <w:szCs w:val="28"/>
          <w:lang w:val="en-GB"/>
        </w:rPr>
        <w:t> </w:t>
      </w:r>
    </w:p>
    <w:p w14:paraId="4EB1FED2"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sz w:val="28"/>
          <w:szCs w:val="28"/>
          <w:lang w:val="en-GB"/>
        </w:rPr>
        <w:t xml:space="preserve">And upon the submission of the Undersecretary for Nationality, Passports, and Residence </w:t>
      </w:r>
      <w:proofErr w:type="gramStart"/>
      <w:r w:rsidRPr="0045338C">
        <w:rPr>
          <w:rFonts w:ascii="Arial" w:eastAsia="Times New Roman" w:hAnsi="Arial" w:cs="Arial"/>
          <w:sz w:val="28"/>
          <w:szCs w:val="28"/>
          <w:lang w:val="en-GB"/>
        </w:rPr>
        <w:t>Affairs;</w:t>
      </w:r>
      <w:proofErr w:type="gramEnd"/>
      <w:r w:rsidRPr="0045338C">
        <w:rPr>
          <w:rFonts w:ascii="Arial" w:eastAsia="Times New Roman" w:hAnsi="Arial" w:cs="Arial"/>
          <w:sz w:val="28"/>
          <w:szCs w:val="28"/>
          <w:lang w:val="en-GB"/>
        </w:rPr>
        <w:t> </w:t>
      </w:r>
    </w:p>
    <w:p w14:paraId="1D89A146"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sz w:val="28"/>
          <w:szCs w:val="28"/>
          <w:lang w:val="en-GB"/>
        </w:rPr>
        <w:t>And after the approval of the Council of Ministers, </w:t>
      </w:r>
    </w:p>
    <w:p w14:paraId="43FCABE2"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b/>
          <w:bCs/>
          <w:sz w:val="28"/>
          <w:szCs w:val="28"/>
          <w:lang w:val="en-GB"/>
        </w:rPr>
        <w:t>Hereby Decides </w:t>
      </w:r>
    </w:p>
    <w:p w14:paraId="4F5AD272"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b/>
          <w:bCs/>
          <w:sz w:val="28"/>
          <w:szCs w:val="28"/>
          <w:lang w:val="en-GB"/>
        </w:rPr>
        <w:t>Article One </w:t>
      </w:r>
    </w:p>
    <w:p w14:paraId="6A4834FB"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sz w:val="28"/>
          <w:szCs w:val="28"/>
          <w:lang w:val="en-GB"/>
        </w:rPr>
        <w:t>A new clause No. (66) shall be added to the Table attached to Decision No. (196) of 2014 regarding the Fees for Services Provided by the General Directorate of Nationality, Passports and Residence, whose text is specified in the Table attached to this Decision. </w:t>
      </w:r>
    </w:p>
    <w:p w14:paraId="6F256BA7"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b/>
          <w:bCs/>
          <w:sz w:val="28"/>
          <w:szCs w:val="28"/>
          <w:lang w:val="en-GB"/>
        </w:rPr>
        <w:t>Article Two </w:t>
      </w:r>
    </w:p>
    <w:p w14:paraId="099FEA25"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sz w:val="28"/>
          <w:szCs w:val="28"/>
          <w:lang w:val="en-GB"/>
        </w:rPr>
        <w:t>Every text which contradicts provisions of this Decision shall be repealed. </w:t>
      </w:r>
    </w:p>
    <w:p w14:paraId="56E64650"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b/>
          <w:bCs/>
          <w:sz w:val="28"/>
          <w:szCs w:val="28"/>
          <w:lang w:val="en-GB"/>
        </w:rPr>
        <w:t>Article Three </w:t>
      </w:r>
    </w:p>
    <w:p w14:paraId="5B243FBB"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sz w:val="28"/>
          <w:szCs w:val="28"/>
          <w:lang w:val="en-GB"/>
        </w:rPr>
        <w:t>The Undersecretary for Nationality, Passports, and Residence Affairs shall implement this Decision, and it shall come into force from 15 August 2020, and be published in the Official Gazette. </w:t>
      </w:r>
    </w:p>
    <w:p w14:paraId="18ADCC84"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b/>
          <w:bCs/>
          <w:sz w:val="28"/>
          <w:szCs w:val="28"/>
          <w:lang w:val="en-GB"/>
        </w:rPr>
        <w:t>Minister of Interior </w:t>
      </w:r>
    </w:p>
    <w:p w14:paraId="5E8BA6CA"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b/>
          <w:bCs/>
          <w:sz w:val="28"/>
          <w:szCs w:val="28"/>
          <w:lang w:val="en-GB"/>
        </w:rPr>
        <w:t>Lieutenant General </w:t>
      </w:r>
    </w:p>
    <w:p w14:paraId="2E8A6E1F"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b/>
          <w:bCs/>
          <w:sz w:val="28"/>
          <w:szCs w:val="28"/>
          <w:lang w:val="en-GB"/>
        </w:rPr>
        <w:lastRenderedPageBreak/>
        <w:t>Rashid bin Abdullah Al Khalifa </w:t>
      </w:r>
    </w:p>
    <w:p w14:paraId="0FAF73D5"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sz w:val="28"/>
          <w:szCs w:val="28"/>
          <w:lang w:val="en-GB"/>
        </w:rPr>
        <w:t xml:space="preserve">Issued </w:t>
      </w:r>
      <w:proofErr w:type="gramStart"/>
      <w:r w:rsidRPr="0045338C">
        <w:rPr>
          <w:rFonts w:ascii="Arial" w:eastAsia="Times New Roman" w:hAnsi="Arial" w:cs="Arial"/>
          <w:sz w:val="28"/>
          <w:szCs w:val="28"/>
          <w:lang w:val="en-GB"/>
        </w:rPr>
        <w:t>on:</w:t>
      </w:r>
      <w:proofErr w:type="gramEnd"/>
      <w:r w:rsidRPr="0045338C">
        <w:rPr>
          <w:rFonts w:ascii="Arial" w:eastAsia="Times New Roman" w:hAnsi="Arial" w:cs="Arial"/>
          <w:sz w:val="28"/>
          <w:szCs w:val="28"/>
          <w:lang w:val="en-GB"/>
        </w:rPr>
        <w:t> 13 Safar 1442 A.H. </w:t>
      </w:r>
    </w:p>
    <w:p w14:paraId="58FB5A51" w14:textId="77777777" w:rsidR="0045338C" w:rsidRPr="0045338C" w:rsidRDefault="0045338C" w:rsidP="000C5D5E">
      <w:pPr>
        <w:spacing w:before="120" w:after="0" w:line="360" w:lineRule="auto"/>
        <w:rPr>
          <w:rFonts w:ascii="Arial" w:eastAsia="Times New Roman" w:hAnsi="Arial" w:cs="Arial"/>
          <w:sz w:val="28"/>
          <w:szCs w:val="28"/>
          <w:lang w:val="en-GB"/>
        </w:rPr>
      </w:pPr>
      <w:r w:rsidRPr="0045338C">
        <w:rPr>
          <w:rFonts w:ascii="Arial" w:eastAsia="Times New Roman" w:hAnsi="Arial" w:cs="Arial"/>
          <w:sz w:val="28"/>
          <w:szCs w:val="28"/>
          <w:lang w:val="en-GB"/>
        </w:rPr>
        <w:t>Corresponding to: 30 September 2020 </w:t>
      </w:r>
    </w:p>
    <w:tbl>
      <w:tblPr>
        <w:tblStyle w:val="TableGrid"/>
        <w:tblW w:w="0" w:type="auto"/>
        <w:tblInd w:w="0" w:type="dxa"/>
        <w:tblLook w:val="04A0" w:firstRow="1" w:lastRow="0" w:firstColumn="1" w:lastColumn="0" w:noHBand="0" w:noVBand="1"/>
      </w:tblPr>
      <w:tblGrid>
        <w:gridCol w:w="606"/>
        <w:gridCol w:w="6655"/>
        <w:gridCol w:w="963"/>
        <w:gridCol w:w="838"/>
      </w:tblGrid>
      <w:tr w:rsidR="00861932" w:rsidRPr="00861932" w14:paraId="464648F4" w14:textId="77777777" w:rsidTr="00861932">
        <w:tc>
          <w:tcPr>
            <w:tcW w:w="562" w:type="dxa"/>
          </w:tcPr>
          <w:p w14:paraId="388041CA" w14:textId="77777777" w:rsidR="00861932" w:rsidRPr="00861932" w:rsidRDefault="00861932" w:rsidP="00861932">
            <w:pPr>
              <w:spacing w:before="120" w:after="0" w:line="360" w:lineRule="auto"/>
              <w:rPr>
                <w:rFonts w:ascii="Arial" w:eastAsia="Times New Roman" w:hAnsi="Arial" w:cs="Arial"/>
                <w:sz w:val="28"/>
                <w:szCs w:val="28"/>
                <w:lang w:val="en-GB"/>
              </w:rPr>
            </w:pPr>
            <w:r w:rsidRPr="00861932">
              <w:rPr>
                <w:rFonts w:ascii="Arial" w:eastAsia="Times New Roman" w:hAnsi="Arial" w:cs="Arial"/>
                <w:sz w:val="28"/>
                <w:szCs w:val="28"/>
                <w:lang w:val="en-GB"/>
              </w:rPr>
              <w:t>v </w:t>
            </w:r>
          </w:p>
        </w:tc>
        <w:tc>
          <w:tcPr>
            <w:tcW w:w="6698" w:type="dxa"/>
          </w:tcPr>
          <w:p w14:paraId="2B68A79E" w14:textId="77777777" w:rsidR="00861932" w:rsidRPr="00861932" w:rsidRDefault="00861932" w:rsidP="00861932">
            <w:pPr>
              <w:spacing w:before="120" w:after="0" w:line="360" w:lineRule="auto"/>
              <w:rPr>
                <w:rFonts w:ascii="Arial" w:eastAsia="Times New Roman" w:hAnsi="Arial" w:cs="Arial"/>
                <w:sz w:val="28"/>
                <w:szCs w:val="28"/>
                <w:lang w:val="en-GB"/>
              </w:rPr>
            </w:pPr>
            <w:r w:rsidRPr="00861932">
              <w:rPr>
                <w:rFonts w:ascii="Arial" w:eastAsia="Times New Roman" w:hAnsi="Arial" w:cs="Arial"/>
                <w:sz w:val="28"/>
                <w:szCs w:val="28"/>
                <w:lang w:val="en-GB"/>
              </w:rPr>
              <w:t>Service </w:t>
            </w:r>
          </w:p>
        </w:tc>
        <w:tc>
          <w:tcPr>
            <w:tcW w:w="963" w:type="dxa"/>
          </w:tcPr>
          <w:p w14:paraId="2C5E223E" w14:textId="03E21F32" w:rsidR="00861932" w:rsidRPr="00861932" w:rsidRDefault="00861932" w:rsidP="00861932">
            <w:pPr>
              <w:spacing w:before="120" w:after="0" w:line="360" w:lineRule="auto"/>
              <w:rPr>
                <w:rFonts w:ascii="Arial" w:eastAsia="Times New Roman" w:hAnsi="Arial" w:cs="Arial"/>
                <w:sz w:val="28"/>
                <w:szCs w:val="28"/>
                <w:lang w:val="en-GB"/>
              </w:rPr>
            </w:pPr>
            <w:r w:rsidRPr="00861932">
              <w:rPr>
                <w:rFonts w:ascii="Arial" w:eastAsia="Times New Roman" w:hAnsi="Arial" w:cs="Arial"/>
                <w:sz w:val="28"/>
                <w:szCs w:val="28"/>
                <w:lang w:val="en-GB"/>
              </w:rPr>
              <w:t>Dinar </w:t>
            </w:r>
          </w:p>
        </w:tc>
        <w:tc>
          <w:tcPr>
            <w:tcW w:w="839" w:type="dxa"/>
          </w:tcPr>
          <w:p w14:paraId="68F32BF1" w14:textId="1772DB92" w:rsidR="00861932" w:rsidRPr="00861932" w:rsidRDefault="00861932" w:rsidP="00861932">
            <w:pPr>
              <w:spacing w:before="120" w:after="0" w:line="360" w:lineRule="auto"/>
              <w:rPr>
                <w:rFonts w:ascii="Arial" w:eastAsia="Times New Roman" w:hAnsi="Arial" w:cs="Arial"/>
                <w:sz w:val="28"/>
                <w:szCs w:val="28"/>
                <w:lang w:val="en-GB"/>
              </w:rPr>
            </w:pPr>
            <w:r w:rsidRPr="00861932">
              <w:rPr>
                <w:rFonts w:ascii="Arial" w:eastAsia="Times New Roman" w:hAnsi="Arial" w:cs="Arial"/>
                <w:sz w:val="28"/>
                <w:szCs w:val="28"/>
                <w:lang w:val="en-GB"/>
              </w:rPr>
              <w:t>Fils </w:t>
            </w:r>
          </w:p>
        </w:tc>
      </w:tr>
      <w:tr w:rsidR="00861932" w:rsidRPr="00861932" w14:paraId="44BF61DF" w14:textId="77777777" w:rsidTr="00861932">
        <w:tc>
          <w:tcPr>
            <w:tcW w:w="562" w:type="dxa"/>
          </w:tcPr>
          <w:p w14:paraId="11698DC3" w14:textId="77777777" w:rsidR="00861932" w:rsidRPr="00861932" w:rsidRDefault="00861932" w:rsidP="00861932">
            <w:pPr>
              <w:spacing w:before="120" w:after="0" w:line="360" w:lineRule="auto"/>
              <w:rPr>
                <w:rFonts w:ascii="Arial" w:eastAsia="Times New Roman" w:hAnsi="Arial" w:cs="Arial"/>
                <w:sz w:val="28"/>
                <w:szCs w:val="28"/>
                <w:lang w:val="en-GB"/>
              </w:rPr>
            </w:pPr>
            <w:r w:rsidRPr="00861932">
              <w:rPr>
                <w:rFonts w:ascii="Arial" w:eastAsia="Times New Roman" w:hAnsi="Arial" w:cs="Arial"/>
                <w:sz w:val="28"/>
                <w:szCs w:val="28"/>
                <w:lang w:val="en-GB"/>
              </w:rPr>
              <w:t>66 </w:t>
            </w:r>
          </w:p>
        </w:tc>
        <w:tc>
          <w:tcPr>
            <w:tcW w:w="6698" w:type="dxa"/>
          </w:tcPr>
          <w:p w14:paraId="19703281" w14:textId="77777777" w:rsidR="00861932" w:rsidRPr="00861932" w:rsidRDefault="00861932" w:rsidP="00861932">
            <w:pPr>
              <w:spacing w:before="120" w:after="0" w:line="360" w:lineRule="auto"/>
              <w:rPr>
                <w:rFonts w:ascii="Arial" w:eastAsia="Times New Roman" w:hAnsi="Arial" w:cs="Arial"/>
                <w:sz w:val="28"/>
                <w:szCs w:val="28"/>
                <w:lang w:val="en-GB"/>
              </w:rPr>
            </w:pPr>
            <w:r w:rsidRPr="00861932">
              <w:rPr>
                <w:rFonts w:ascii="Arial" w:eastAsia="Times New Roman" w:hAnsi="Arial" w:cs="Arial"/>
                <w:sz w:val="28"/>
                <w:szCs w:val="28"/>
                <w:lang w:val="en-GB"/>
              </w:rPr>
              <w:t>Issuance of an electronic tourist visa through the multiple-entry management, valid for a period of ten years from the date of issuance, allowing its holder to stay in the country for a period not exceeding 90 days each time, for nationals of the United States of America. </w:t>
            </w:r>
          </w:p>
        </w:tc>
        <w:tc>
          <w:tcPr>
            <w:tcW w:w="963" w:type="dxa"/>
          </w:tcPr>
          <w:p w14:paraId="6CC5DB5F" w14:textId="14D3661B" w:rsidR="00861932" w:rsidRPr="00861932" w:rsidRDefault="00861932" w:rsidP="00861932">
            <w:pPr>
              <w:spacing w:before="120" w:after="0" w:line="360" w:lineRule="auto"/>
              <w:rPr>
                <w:rFonts w:ascii="Arial" w:eastAsia="Times New Roman" w:hAnsi="Arial" w:cs="Arial"/>
                <w:sz w:val="28"/>
                <w:szCs w:val="28"/>
                <w:lang w:val="en-GB"/>
              </w:rPr>
            </w:pPr>
            <w:r w:rsidRPr="00861932">
              <w:rPr>
                <w:rFonts w:ascii="Arial" w:eastAsia="Times New Roman" w:hAnsi="Arial" w:cs="Arial"/>
                <w:sz w:val="28"/>
                <w:szCs w:val="28"/>
                <w:lang w:val="en-GB"/>
              </w:rPr>
              <w:t>60 </w:t>
            </w:r>
          </w:p>
        </w:tc>
        <w:tc>
          <w:tcPr>
            <w:tcW w:w="839" w:type="dxa"/>
          </w:tcPr>
          <w:p w14:paraId="004E4F57" w14:textId="325472D3" w:rsidR="00861932" w:rsidRPr="00861932" w:rsidRDefault="00861932" w:rsidP="00861932">
            <w:pPr>
              <w:spacing w:before="120" w:after="0" w:line="360" w:lineRule="auto"/>
              <w:rPr>
                <w:rFonts w:ascii="Arial" w:eastAsia="Times New Roman" w:hAnsi="Arial" w:cs="Arial"/>
                <w:sz w:val="28"/>
                <w:szCs w:val="28"/>
                <w:lang w:val="en-GB"/>
              </w:rPr>
            </w:pPr>
            <w:r w:rsidRPr="00861932">
              <w:rPr>
                <w:rFonts w:ascii="Arial" w:eastAsia="Times New Roman" w:hAnsi="Arial" w:cs="Arial"/>
                <w:sz w:val="28"/>
                <w:szCs w:val="28"/>
                <w:lang w:val="en-GB"/>
              </w:rPr>
              <w:t>- </w:t>
            </w:r>
          </w:p>
        </w:tc>
      </w:tr>
    </w:tbl>
    <w:p w14:paraId="6F9367B6" w14:textId="77777777" w:rsidR="0045338C" w:rsidRPr="0045338C" w:rsidRDefault="0045338C" w:rsidP="000C5D5E">
      <w:pPr>
        <w:spacing w:before="120" w:after="0" w:line="360" w:lineRule="auto"/>
        <w:rPr>
          <w:rFonts w:ascii="Arial" w:eastAsia="Times New Roman" w:hAnsi="Arial" w:cs="Arial"/>
          <w:b/>
          <w:bCs/>
          <w:sz w:val="28"/>
          <w:szCs w:val="28"/>
        </w:rPr>
      </w:pPr>
    </w:p>
    <w:p w14:paraId="04FEB226" w14:textId="77777777" w:rsidR="0045338C" w:rsidRPr="0045338C" w:rsidRDefault="0045338C" w:rsidP="000C5D5E">
      <w:pPr>
        <w:spacing w:before="120" w:after="0" w:line="360" w:lineRule="auto"/>
        <w:rPr>
          <w:rFonts w:ascii="Arial" w:hAnsi="Arial" w:cs="Arial"/>
          <w:sz w:val="28"/>
          <w:szCs w:val="28"/>
        </w:rPr>
      </w:pPr>
    </w:p>
    <w:sectPr w:rsidR="0045338C" w:rsidRPr="0045338C" w:rsidSect="009076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8C"/>
    <w:rsid w:val="000129C5"/>
    <w:rsid w:val="000C5D5E"/>
    <w:rsid w:val="00435380"/>
    <w:rsid w:val="0045338C"/>
    <w:rsid w:val="00861932"/>
    <w:rsid w:val="009076EE"/>
    <w:rsid w:val="00946FD6"/>
    <w:rsid w:val="00AD4C3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E3876"/>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2024-05-14T09:51:00Z</dcterms:created>
  <dcterms:modified xsi:type="dcterms:W3CDTF">2024-05-22T14:57:00Z</dcterms:modified>
</cp:coreProperties>
</file>