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BDC98" w14:textId="77777777" w:rsidR="00600FEE" w:rsidRPr="00600FEE" w:rsidRDefault="00600FEE" w:rsidP="000B4455">
      <w:pPr>
        <w:spacing w:before="120" w:after="0" w:line="360" w:lineRule="auto"/>
        <w:rPr>
          <w:rFonts w:ascii="Arial" w:eastAsia="Times New Roman" w:hAnsi="Arial" w:cs="Arial"/>
          <w:b/>
          <w:bCs/>
          <w:sz w:val="28"/>
          <w:szCs w:val="28"/>
          <w:lang w:val="en-GB"/>
        </w:rPr>
      </w:pPr>
      <w:r w:rsidRPr="00600FEE">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FEAA689" w14:textId="77777777" w:rsidR="00600FEE" w:rsidRPr="00600FEE" w:rsidRDefault="00600FEE" w:rsidP="000B4455">
      <w:pPr>
        <w:spacing w:before="120" w:after="0" w:line="360" w:lineRule="auto"/>
        <w:rPr>
          <w:rFonts w:ascii="Arial" w:eastAsia="Times New Roman" w:hAnsi="Arial" w:cs="Arial"/>
          <w:b/>
          <w:bCs/>
          <w:sz w:val="28"/>
          <w:szCs w:val="28"/>
          <w:lang w:val="en-GB"/>
        </w:rPr>
      </w:pPr>
      <w:r w:rsidRPr="00600FEE">
        <w:rPr>
          <w:rFonts w:ascii="Arial" w:eastAsia="Times New Roman" w:hAnsi="Arial" w:cs="Arial"/>
          <w:b/>
          <w:bCs/>
          <w:sz w:val="28"/>
          <w:szCs w:val="28"/>
          <w:lang w:val="en-GB"/>
        </w:rPr>
        <w:t>For any corrections, remarks, or suggestions, kindly contact us on translate@lloc.gov.bh</w:t>
      </w:r>
    </w:p>
    <w:p w14:paraId="28039E27" w14:textId="77777777" w:rsidR="00600FEE" w:rsidRPr="00600FEE" w:rsidRDefault="00600FEE" w:rsidP="000B4455">
      <w:pPr>
        <w:spacing w:before="120" w:after="0" w:line="360" w:lineRule="auto"/>
        <w:rPr>
          <w:rFonts w:ascii="Arial" w:eastAsia="Times New Roman" w:hAnsi="Arial" w:cs="Arial"/>
          <w:b/>
          <w:bCs/>
          <w:sz w:val="28"/>
          <w:szCs w:val="28"/>
          <w:lang w:val="en-GB"/>
        </w:rPr>
      </w:pPr>
      <w:r w:rsidRPr="00600FEE">
        <w:rPr>
          <w:rFonts w:ascii="Arial" w:eastAsia="Times New Roman" w:hAnsi="Arial" w:cs="Arial"/>
          <w:b/>
          <w:bCs/>
          <w:sz w:val="28"/>
          <w:szCs w:val="28"/>
          <w:lang w:val="en-GB"/>
        </w:rPr>
        <w:t>Published on the website on May 2024</w:t>
      </w:r>
      <w:r w:rsidRPr="00600FEE">
        <w:rPr>
          <w:rFonts w:ascii="Arial" w:eastAsia="Times New Roman" w:hAnsi="Arial" w:cs="Arial"/>
          <w:b/>
          <w:bCs/>
          <w:sz w:val="28"/>
          <w:szCs w:val="28"/>
          <w:lang w:val="en-GB"/>
        </w:rPr>
        <w:br w:type="page"/>
      </w:r>
    </w:p>
    <w:p w14:paraId="2DD7037A"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b/>
          <w:bCs/>
          <w:sz w:val="28"/>
          <w:szCs w:val="28"/>
          <w:lang w:val="en-GB"/>
        </w:rPr>
        <w:lastRenderedPageBreak/>
        <w:t>Central Bank of Bahrain </w:t>
      </w:r>
    </w:p>
    <w:p w14:paraId="2CAD39D6"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b/>
          <w:bCs/>
          <w:sz w:val="28"/>
          <w:szCs w:val="28"/>
          <w:lang w:val="en-GB"/>
        </w:rPr>
        <w:t>Decision No. (12) of 2020 amending Some Provisions of the Regulation No. (1) of 2007 regarding Services Subject to the Supervision of the Central Bank of Bahrain </w:t>
      </w:r>
    </w:p>
    <w:p w14:paraId="0C908A68"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br w:type="page"/>
      </w:r>
    </w:p>
    <w:p w14:paraId="201A6C15"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Governor of the Central Bank of Bahrain: </w:t>
      </w:r>
    </w:p>
    <w:p w14:paraId="30B1333A"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Having reviewed the Central Bank of Bahrain and the Financial Institutions Law promulgated by Law No. (64) of 2006, as amended; </w:t>
      </w:r>
    </w:p>
    <w:p w14:paraId="19070A7E"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Legislative Decree No. (55) of 2018 regarding the Negotiable Electronic Records; </w:t>
      </w:r>
    </w:p>
    <w:p w14:paraId="3E2A561F"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And Regulation No. (1) of 2007 regarding Services Subject to the Supervision of the Central Bank of Bahrain, as amended; </w:t>
      </w:r>
    </w:p>
    <w:p w14:paraId="7936AEA3"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And upon the submission of the Chief Executive Director of Financial Institutions Supervision, </w:t>
      </w:r>
    </w:p>
    <w:p w14:paraId="41D69914"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b/>
          <w:bCs/>
          <w:sz w:val="28"/>
          <w:szCs w:val="28"/>
          <w:lang w:val="en-GB"/>
        </w:rPr>
        <w:t>Hereby Decides: </w:t>
      </w:r>
    </w:p>
    <w:p w14:paraId="60BB6377"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b/>
          <w:bCs/>
          <w:sz w:val="28"/>
          <w:szCs w:val="28"/>
          <w:lang w:val="en-GB"/>
        </w:rPr>
        <w:t>Article (1) </w:t>
      </w:r>
    </w:p>
    <w:p w14:paraId="0FE3A5D9"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The text of sub-category (e) of clause (5) of the schedule contained in Article (1) of Regulation No. (1) of 2007 regarding Services Subject to the Supervision of the Central Bank of Bahrain shall be replaced with the following text: </w:t>
      </w:r>
    </w:p>
    <w:p w14:paraId="2B5E329A"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b/>
          <w:bCs/>
          <w:sz w:val="28"/>
          <w:szCs w:val="28"/>
          <w:lang w:val="en-GB"/>
        </w:rPr>
        <w:t>Article (2) </w:t>
      </w:r>
    </w:p>
    <w:p w14:paraId="57C7FD55"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The concerned directorates of the Central Bank of Bahrain shall implement the provisions of this Decision, and it shall come into force from the day following the date of its publication in the Official Gazette. </w:t>
      </w:r>
    </w:p>
    <w:p w14:paraId="2E4E9958"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b/>
          <w:bCs/>
          <w:sz w:val="28"/>
          <w:szCs w:val="28"/>
          <w:lang w:val="en-GB"/>
        </w:rPr>
        <w:t>Governor of the Central Bank of Bahrain </w:t>
      </w:r>
    </w:p>
    <w:p w14:paraId="185D9B4A"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b/>
          <w:bCs/>
          <w:sz w:val="28"/>
          <w:szCs w:val="28"/>
          <w:lang w:val="en-GB"/>
        </w:rPr>
        <w:t>Rasheed Mohammed Al Maraj </w:t>
      </w:r>
    </w:p>
    <w:p w14:paraId="5A1B22F3"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Issued on: 25 Ramadan 1441 A.H. </w:t>
      </w:r>
    </w:p>
    <w:p w14:paraId="5E189F8A" w14:textId="77777777" w:rsidR="00600FEE" w:rsidRPr="00600FEE" w:rsidRDefault="00600FEE" w:rsidP="000B4455">
      <w:pPr>
        <w:spacing w:before="120" w:after="0" w:line="360" w:lineRule="auto"/>
        <w:rPr>
          <w:rFonts w:ascii="Arial" w:eastAsia="Times New Roman" w:hAnsi="Arial" w:cs="Arial"/>
          <w:sz w:val="28"/>
          <w:szCs w:val="28"/>
          <w:lang w:val="en-GB"/>
        </w:rPr>
      </w:pPr>
      <w:r w:rsidRPr="00600FEE">
        <w:rPr>
          <w:rFonts w:ascii="Arial" w:eastAsia="Times New Roman" w:hAnsi="Arial" w:cs="Arial"/>
          <w:sz w:val="28"/>
          <w:szCs w:val="28"/>
          <w:lang w:val="en-GB"/>
        </w:rPr>
        <w:t>Corresponding to: 18 May 2020 </w:t>
      </w:r>
    </w:p>
    <w:p w14:paraId="71AD541C" w14:textId="77777777" w:rsidR="00600FEE" w:rsidRPr="00600FEE" w:rsidRDefault="00600FEE" w:rsidP="000B4455">
      <w:pPr>
        <w:spacing w:before="120" w:after="0" w:line="360" w:lineRule="auto"/>
        <w:rPr>
          <w:rFonts w:ascii="Arial" w:eastAsia="Times New Roman" w:hAnsi="Arial" w:cs="Arial"/>
          <w:b/>
          <w:bCs/>
          <w:sz w:val="28"/>
          <w:szCs w:val="28"/>
        </w:rPr>
      </w:pPr>
    </w:p>
    <w:p w14:paraId="2180B45A" w14:textId="77777777" w:rsidR="00600FEE" w:rsidRPr="00600FEE" w:rsidRDefault="00600FEE" w:rsidP="000B4455">
      <w:pPr>
        <w:spacing w:before="120" w:after="0" w:line="360" w:lineRule="auto"/>
        <w:rPr>
          <w:rFonts w:ascii="Arial" w:hAnsi="Arial" w:cs="Arial"/>
          <w:sz w:val="28"/>
          <w:szCs w:val="28"/>
        </w:rPr>
      </w:pPr>
    </w:p>
    <w:sectPr w:rsidR="00600FEE" w:rsidRPr="00600FEE" w:rsidSect="00A04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EE"/>
    <w:rsid w:val="000129C5"/>
    <w:rsid w:val="000B4455"/>
    <w:rsid w:val="001D1C13"/>
    <w:rsid w:val="00435380"/>
    <w:rsid w:val="00600FEE"/>
    <w:rsid w:val="00A046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805B4"/>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2024-05-14T09:37:00Z</dcterms:created>
  <dcterms:modified xsi:type="dcterms:W3CDTF">2024-05-15T18:22:00Z</dcterms:modified>
</cp:coreProperties>
</file>