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A257" w14:textId="77777777" w:rsidR="00963887" w:rsidRPr="00963887" w:rsidRDefault="00963887" w:rsidP="00963887">
      <w:pPr>
        <w:spacing w:line="360" w:lineRule="auto"/>
        <w:rPr>
          <w:rFonts w:ascii="Arial" w:hAnsi="Arial" w:cs="Arial"/>
          <w:b/>
          <w:bCs/>
          <w:sz w:val="28"/>
          <w:szCs w:val="28"/>
          <w:lang w:val="en-GB"/>
        </w:rPr>
      </w:pPr>
      <w:r w:rsidRPr="00963887">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1B49866" w14:textId="77777777" w:rsidR="00963887" w:rsidRPr="00963887" w:rsidRDefault="00963887" w:rsidP="00963887">
      <w:pPr>
        <w:spacing w:line="360" w:lineRule="auto"/>
        <w:rPr>
          <w:rFonts w:ascii="Arial" w:hAnsi="Arial" w:cs="Arial"/>
          <w:b/>
          <w:bCs/>
          <w:sz w:val="28"/>
          <w:szCs w:val="28"/>
          <w:lang w:val="en-GB"/>
        </w:rPr>
      </w:pPr>
      <w:r w:rsidRPr="00963887">
        <w:rPr>
          <w:rFonts w:ascii="Arial" w:hAnsi="Arial" w:cs="Arial"/>
          <w:b/>
          <w:bCs/>
          <w:sz w:val="28"/>
          <w:szCs w:val="28"/>
          <w:lang w:val="en-GB"/>
        </w:rPr>
        <w:t>For any corrections, remarks, or suggestions, kindly contact us on translate@lloc.gov.bh</w:t>
      </w:r>
    </w:p>
    <w:p w14:paraId="4F7F8984" w14:textId="484747A3" w:rsidR="00963887" w:rsidRPr="00963887" w:rsidRDefault="00963887" w:rsidP="00963887">
      <w:pPr>
        <w:spacing w:line="360" w:lineRule="auto"/>
        <w:rPr>
          <w:rFonts w:ascii="Arial" w:hAnsi="Arial" w:cs="Arial"/>
          <w:b/>
          <w:bCs/>
          <w:sz w:val="28"/>
          <w:szCs w:val="28"/>
          <w:lang w:val="en-GB"/>
        </w:rPr>
      </w:pPr>
      <w:r w:rsidRPr="00963887">
        <w:rPr>
          <w:rFonts w:ascii="Arial" w:hAnsi="Arial" w:cs="Arial"/>
          <w:b/>
          <w:bCs/>
          <w:sz w:val="28"/>
          <w:szCs w:val="28"/>
          <w:lang w:val="en-GB"/>
        </w:rPr>
        <w:t>Published on the website on April 2025</w:t>
      </w:r>
      <w:r w:rsidRPr="00963887">
        <w:rPr>
          <w:rFonts w:ascii="Arial" w:hAnsi="Arial" w:cs="Arial"/>
          <w:b/>
          <w:bCs/>
          <w:sz w:val="28"/>
          <w:szCs w:val="28"/>
          <w:lang w:val="en-GB"/>
        </w:rPr>
        <w:br w:type="page"/>
      </w:r>
    </w:p>
    <w:p w14:paraId="0ECFEC9A" w14:textId="3CACE2A4" w:rsidR="004464E0" w:rsidRPr="00963887" w:rsidRDefault="004464E0" w:rsidP="00E0227A">
      <w:pPr>
        <w:spacing w:line="360" w:lineRule="auto"/>
        <w:jc w:val="center"/>
        <w:rPr>
          <w:rFonts w:ascii="Arial" w:hAnsi="Arial" w:cs="Arial"/>
          <w:b/>
          <w:bCs/>
          <w:sz w:val="28"/>
          <w:szCs w:val="28"/>
          <w:lang w:val="en-GB"/>
        </w:rPr>
      </w:pPr>
      <w:r w:rsidRPr="00963887">
        <w:rPr>
          <w:rFonts w:ascii="Arial" w:hAnsi="Arial" w:cs="Arial"/>
          <w:b/>
          <w:bCs/>
          <w:sz w:val="28"/>
          <w:szCs w:val="28"/>
          <w:lang w:val="en-GB"/>
        </w:rPr>
        <w:lastRenderedPageBreak/>
        <w:t>Legislative Decree No. (51) of 2010 Amending Certain Provisions of Law No. (11) of 1975 regarding Passports</w:t>
      </w:r>
    </w:p>
    <w:p w14:paraId="59B49301"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We, Hamad bin Isa Al Khalifa, King of the Kingdom of Bahrain.</w:t>
      </w:r>
    </w:p>
    <w:p w14:paraId="7F787D01"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Having reviewed the Constitution,</w:t>
      </w:r>
    </w:p>
    <w:p w14:paraId="4C6081EE"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Law No. (11) of 1975 regarding Passports, as amended,</w:t>
      </w:r>
    </w:p>
    <w:p w14:paraId="2D6556F6"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And upon the submission of the Prime Minister,</w:t>
      </w:r>
    </w:p>
    <w:p w14:paraId="23C5EA7E"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And after the approval of the Cabinet,</w:t>
      </w:r>
    </w:p>
    <w:p w14:paraId="7AC1B66B"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Hereby Decree the following Law:</w:t>
      </w:r>
    </w:p>
    <w:p w14:paraId="74800E1F"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Article One</w:t>
      </w:r>
    </w:p>
    <w:p w14:paraId="6FAAA0C9"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The texts of Articles (2), (7), (8), and (9) of Law No. (11) of 1975 regarding Passports shall be replaced with the following texts:</w:t>
      </w:r>
    </w:p>
    <w:p w14:paraId="7FE74404"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Article (2):</w:t>
      </w:r>
    </w:p>
    <w:p w14:paraId="6629372D"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Passports of all types shall be issued only to those holding Bahraini nationality in accordance with the provisions of the Nationality Law in force at the time of issuance.</w:t>
      </w:r>
    </w:p>
    <w:p w14:paraId="56369E93"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Article (7):</w:t>
      </w:r>
    </w:p>
    <w:p w14:paraId="086E5675"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Diplomatic passports shall be granted to:</w:t>
      </w:r>
    </w:p>
    <w:p w14:paraId="0BF76CF2"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a. The King and the Crown Prince.</w:t>
      </w:r>
    </w:p>
    <w:p w14:paraId="2E1B3A5C"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b. The Prime Minister.</w:t>
      </w:r>
    </w:p>
    <w:p w14:paraId="659AA8F8"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c. Members of the Cabinet.</w:t>
      </w:r>
    </w:p>
    <w:p w14:paraId="79513238"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lastRenderedPageBreak/>
        <w:t>d. The Chairpersons of the Shura Council and the Council of Deputies.</w:t>
      </w:r>
    </w:p>
    <w:p w14:paraId="3B007F69"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e. Members of the Bahraini diplomatic and consular corps, as well as members of the missions of the Kingdom of Bahrain to international organisations holding equivalent diplomatic status.</w:t>
      </w:r>
    </w:p>
    <w:p w14:paraId="1D24BCBB"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 xml:space="preserve">f. </w:t>
      </w:r>
      <w:proofErr w:type="gramStart"/>
      <w:r w:rsidRPr="00963887">
        <w:rPr>
          <w:rFonts w:ascii="Arial" w:hAnsi="Arial" w:cs="Arial"/>
          <w:sz w:val="28"/>
          <w:szCs w:val="28"/>
          <w:lang w:val="en-GB"/>
        </w:rPr>
        <w:t>Technical</w:t>
      </w:r>
      <w:proofErr w:type="gramEnd"/>
      <w:r w:rsidRPr="00963887">
        <w:rPr>
          <w:rFonts w:ascii="Arial" w:hAnsi="Arial" w:cs="Arial"/>
          <w:sz w:val="28"/>
          <w:szCs w:val="28"/>
          <w:lang w:val="en-GB"/>
        </w:rPr>
        <w:t xml:space="preserve"> attachés of all ranks in diplomatic missions abroad.</w:t>
      </w:r>
    </w:p>
    <w:p w14:paraId="256926C1"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g. Diplomatic Couriers.</w:t>
      </w:r>
    </w:p>
    <w:p w14:paraId="4E008544"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h. Spouses and children, up to the age of 21, and unmarried daughters of individuals in the categories listed under Clauses (c), (d), and (e) of this Article.</w:t>
      </w:r>
    </w:p>
    <w:p w14:paraId="050562AA"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Article (8):</w:t>
      </w:r>
    </w:p>
    <w:p w14:paraId="3AA6C8E2"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With the approval of the King, a diplomatic passport may be granted to:</w:t>
      </w:r>
    </w:p>
    <w:p w14:paraId="2B7557A0"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a. State employees delegated on official missions abroad, upon the request of the Minister of Foreign Affairs.</w:t>
      </w:r>
    </w:p>
    <w:p w14:paraId="4FAF6094"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 xml:space="preserve">b. Those delegated to represent the Kingdom of Bahrain at a specialised agency of the United Nations, </w:t>
      </w:r>
      <w:proofErr w:type="gramStart"/>
      <w:r w:rsidRPr="00963887">
        <w:rPr>
          <w:rFonts w:ascii="Arial" w:hAnsi="Arial" w:cs="Arial"/>
          <w:sz w:val="28"/>
          <w:szCs w:val="28"/>
          <w:lang w:val="en-GB"/>
        </w:rPr>
        <w:t>during the course of</w:t>
      </w:r>
      <w:proofErr w:type="gramEnd"/>
      <w:r w:rsidRPr="00963887">
        <w:rPr>
          <w:rFonts w:ascii="Arial" w:hAnsi="Arial" w:cs="Arial"/>
          <w:sz w:val="28"/>
          <w:szCs w:val="28"/>
          <w:lang w:val="en-GB"/>
        </w:rPr>
        <w:t xml:space="preserve"> their duties.</w:t>
      </w:r>
    </w:p>
    <w:p w14:paraId="1618E43C"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c. Spouses and minor children of individuals listed under categories (a) and (b), accompanying them on travel.</w:t>
      </w:r>
    </w:p>
    <w:p w14:paraId="53F89CCD"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 xml:space="preserve">d. Individuals whom His Majesty the King deems eligible for this passport, outside the </w:t>
      </w:r>
      <w:proofErr w:type="gramStart"/>
      <w:r w:rsidRPr="00963887">
        <w:rPr>
          <w:rFonts w:ascii="Arial" w:hAnsi="Arial" w:cs="Arial"/>
          <w:sz w:val="28"/>
          <w:szCs w:val="28"/>
          <w:lang w:val="en-GB"/>
        </w:rPr>
        <w:t>aforementioned categories</w:t>
      </w:r>
      <w:proofErr w:type="gramEnd"/>
      <w:r w:rsidRPr="00963887">
        <w:rPr>
          <w:rFonts w:ascii="Arial" w:hAnsi="Arial" w:cs="Arial"/>
          <w:sz w:val="28"/>
          <w:szCs w:val="28"/>
          <w:lang w:val="en-GB"/>
        </w:rPr>
        <w:t>.</w:t>
      </w:r>
    </w:p>
    <w:p w14:paraId="03A4377F"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Article (9):</w:t>
      </w:r>
    </w:p>
    <w:p w14:paraId="4DF1C081"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Special passports shall be granted to:</w:t>
      </w:r>
    </w:p>
    <w:p w14:paraId="4E72E5A3"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lastRenderedPageBreak/>
        <w:t>a. Members of the Shura Council and the Council of Deputies.</w:t>
      </w:r>
    </w:p>
    <w:p w14:paraId="28E070B6"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b. Employees holding the rank of Undersecretary or above, or those in equivalent positions.</w:t>
      </w:r>
    </w:p>
    <w:p w14:paraId="4550CF6F"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c. Judges, members of the Public Prosecution, and members of the Legislation and Legal Opinion Commission.</w:t>
      </w:r>
    </w:p>
    <w:p w14:paraId="48329C95"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d. Former Chairpersons and members of the Shura Council and the Council of Deputies.</w:t>
      </w:r>
    </w:p>
    <w:p w14:paraId="58ADD000"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e. Former Ministers, former Undersecretaries, and those in equivalent positions, upon the approval of the Prime Minister.</w:t>
      </w:r>
    </w:p>
    <w:p w14:paraId="1F1181F8"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 xml:space="preserve">f. Former ambassadors and </w:t>
      </w:r>
      <w:proofErr w:type="gramStart"/>
      <w:r w:rsidRPr="00963887">
        <w:rPr>
          <w:rFonts w:ascii="Arial" w:hAnsi="Arial" w:cs="Arial"/>
          <w:sz w:val="28"/>
          <w:szCs w:val="28"/>
          <w:lang w:val="en-GB"/>
        </w:rPr>
        <w:t>ministers</w:t>
      </w:r>
      <w:proofErr w:type="gramEnd"/>
      <w:r w:rsidRPr="00963887">
        <w:rPr>
          <w:rFonts w:ascii="Arial" w:hAnsi="Arial" w:cs="Arial"/>
          <w:sz w:val="28"/>
          <w:szCs w:val="28"/>
          <w:lang w:val="en-GB"/>
        </w:rPr>
        <w:t xml:space="preserve"> plenipotentiary, provided they have not been dismissed by a disciplinary decision.</w:t>
      </w:r>
    </w:p>
    <w:p w14:paraId="7DB3C522"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g. Administrative and clerical staff attached to diplomatic and consular missions and to the Kingdom of Bahrain's missions to international organisations, following the approval of the Minister of Foreign Affairs.</w:t>
      </w:r>
    </w:p>
    <w:p w14:paraId="749E9279"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h. Employees delegated by decision of the Cabinet to represent the Kingdom of Bahrain in conferences, meetings, and international bodies.</w:t>
      </w:r>
    </w:p>
    <w:p w14:paraId="0266262B" w14:textId="77777777" w:rsidR="004464E0" w:rsidRPr="00963887" w:rsidRDefault="004464E0" w:rsidP="00963887">
      <w:pPr>
        <w:spacing w:line="360" w:lineRule="auto"/>
        <w:jc w:val="both"/>
        <w:rPr>
          <w:rFonts w:ascii="Arial" w:hAnsi="Arial" w:cs="Arial"/>
          <w:sz w:val="28"/>
          <w:szCs w:val="28"/>
          <w:lang w:val="en-GB"/>
        </w:rPr>
      </w:pPr>
      <w:proofErr w:type="spellStart"/>
      <w:r w:rsidRPr="00963887">
        <w:rPr>
          <w:rFonts w:ascii="Arial" w:hAnsi="Arial" w:cs="Arial"/>
          <w:sz w:val="28"/>
          <w:szCs w:val="28"/>
          <w:lang w:val="en-GB"/>
        </w:rPr>
        <w:t>i</w:t>
      </w:r>
      <w:proofErr w:type="spellEnd"/>
      <w:r w:rsidRPr="00963887">
        <w:rPr>
          <w:rFonts w:ascii="Arial" w:hAnsi="Arial" w:cs="Arial"/>
          <w:sz w:val="28"/>
          <w:szCs w:val="28"/>
          <w:lang w:val="en-GB"/>
        </w:rPr>
        <w:t>. Employees and accompanying individuals delegated with delegations representing the Shura Council and the Council of Deputies.</w:t>
      </w:r>
    </w:p>
    <w:p w14:paraId="23D2FCFD"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j. Presidents of municipal councils and their deputies.</w:t>
      </w:r>
    </w:p>
    <w:p w14:paraId="704046AF"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k. Spouses and children, up to the age of 21 years, and unmarried daughters of individuals in the categories listed under Clauses (a, b, c) of this Article.</w:t>
      </w:r>
    </w:p>
    <w:p w14:paraId="6CE49112"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lastRenderedPageBreak/>
        <w:t xml:space="preserve">l. Any individual whom His Majesty the King considers eligible for a special passport outside the </w:t>
      </w:r>
      <w:proofErr w:type="gramStart"/>
      <w:r w:rsidRPr="00963887">
        <w:rPr>
          <w:rFonts w:ascii="Arial" w:hAnsi="Arial" w:cs="Arial"/>
          <w:sz w:val="28"/>
          <w:szCs w:val="28"/>
          <w:lang w:val="en-GB"/>
        </w:rPr>
        <w:t>aforementioned categories</w:t>
      </w:r>
      <w:proofErr w:type="gramEnd"/>
      <w:r w:rsidRPr="00963887">
        <w:rPr>
          <w:rFonts w:ascii="Arial" w:hAnsi="Arial" w:cs="Arial"/>
          <w:sz w:val="28"/>
          <w:szCs w:val="28"/>
          <w:lang w:val="en-GB"/>
        </w:rPr>
        <w:t>.</w:t>
      </w:r>
    </w:p>
    <w:p w14:paraId="179E5627"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Article Two</w:t>
      </w:r>
    </w:p>
    <w:p w14:paraId="305BDE53"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The phrase "State of Bahrain" shall be replaced with the phrase "Kingdom of Bahrain" wherever it appears in Law No. (11) of 1975 regarding Passports.</w:t>
      </w:r>
    </w:p>
    <w:p w14:paraId="4F6CECEB"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Article Three</w:t>
      </w:r>
    </w:p>
    <w:p w14:paraId="20C9DA40"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7AC68BC8"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King of the Kingdom of Bahrain</w:t>
      </w:r>
    </w:p>
    <w:p w14:paraId="2DED8340"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Hamad bin Isa Al Khalifa</w:t>
      </w:r>
    </w:p>
    <w:p w14:paraId="0BD0F104"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Prime Minister</w:t>
      </w:r>
    </w:p>
    <w:p w14:paraId="69BAD3DC"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Khalifa bin Salman Al Khalifa</w:t>
      </w:r>
    </w:p>
    <w:p w14:paraId="3F5E7B9C"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Issued at Riffa Palace</w:t>
      </w:r>
    </w:p>
    <w:p w14:paraId="26B8DD99"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On:</w:t>
      </w:r>
    </w:p>
    <w:p w14:paraId="1D1A0CD4"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8 Dhul-</w:t>
      </w:r>
      <w:proofErr w:type="spellStart"/>
      <w:r w:rsidRPr="00963887">
        <w:rPr>
          <w:rFonts w:ascii="Arial" w:hAnsi="Arial" w:cs="Arial"/>
          <w:sz w:val="28"/>
          <w:szCs w:val="28"/>
          <w:lang w:val="en-GB"/>
        </w:rPr>
        <w:t>Hijjah</w:t>
      </w:r>
      <w:proofErr w:type="spellEnd"/>
      <w:r w:rsidRPr="00963887">
        <w:rPr>
          <w:rFonts w:ascii="Arial" w:hAnsi="Arial" w:cs="Arial"/>
          <w:sz w:val="28"/>
          <w:szCs w:val="28"/>
          <w:lang w:val="en-GB"/>
        </w:rPr>
        <w:t xml:space="preserve"> 1431 AH</w:t>
      </w:r>
    </w:p>
    <w:p w14:paraId="0B6AD71E"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Corresponding to:</w:t>
      </w:r>
    </w:p>
    <w:p w14:paraId="1CCB52EC" w14:textId="77777777" w:rsidR="004464E0" w:rsidRPr="00963887" w:rsidRDefault="004464E0" w:rsidP="00963887">
      <w:pPr>
        <w:spacing w:line="360" w:lineRule="auto"/>
        <w:jc w:val="both"/>
        <w:rPr>
          <w:rFonts w:ascii="Arial" w:hAnsi="Arial" w:cs="Arial"/>
          <w:sz w:val="28"/>
          <w:szCs w:val="28"/>
          <w:lang w:val="en-GB"/>
        </w:rPr>
      </w:pPr>
      <w:r w:rsidRPr="00963887">
        <w:rPr>
          <w:rFonts w:ascii="Arial" w:hAnsi="Arial" w:cs="Arial"/>
          <w:sz w:val="28"/>
          <w:szCs w:val="28"/>
          <w:lang w:val="en-GB"/>
        </w:rPr>
        <w:t>14 November 2010</w:t>
      </w:r>
    </w:p>
    <w:p w14:paraId="13EC81A9" w14:textId="77777777" w:rsidR="00F71DAE" w:rsidRPr="00963887" w:rsidRDefault="00F71DAE" w:rsidP="00963887">
      <w:pPr>
        <w:spacing w:line="360" w:lineRule="auto"/>
        <w:rPr>
          <w:rFonts w:ascii="Arial" w:hAnsi="Arial" w:cs="Arial"/>
          <w:sz w:val="28"/>
          <w:szCs w:val="28"/>
        </w:rPr>
      </w:pPr>
    </w:p>
    <w:sectPr w:rsidR="00F71DAE" w:rsidRPr="00963887" w:rsidSect="009638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BE700" w14:textId="77777777" w:rsidR="00BE78DE" w:rsidRDefault="00BE78DE" w:rsidP="00611652">
      <w:pPr>
        <w:spacing w:after="0" w:line="240" w:lineRule="auto"/>
      </w:pPr>
      <w:r>
        <w:separator/>
      </w:r>
    </w:p>
  </w:endnote>
  <w:endnote w:type="continuationSeparator" w:id="0">
    <w:p w14:paraId="1749569C" w14:textId="77777777" w:rsidR="00BE78DE" w:rsidRDefault="00BE78DE" w:rsidP="0061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A7AE2" w14:textId="77777777" w:rsidR="00611652" w:rsidRDefault="00611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FD1B6" w14:textId="77777777" w:rsidR="00611652" w:rsidRDefault="00611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8E86" w14:textId="77777777" w:rsidR="00611652" w:rsidRDefault="00611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7F821" w14:textId="77777777" w:rsidR="00BE78DE" w:rsidRDefault="00BE78DE" w:rsidP="00611652">
      <w:pPr>
        <w:spacing w:after="0" w:line="240" w:lineRule="auto"/>
      </w:pPr>
      <w:r>
        <w:separator/>
      </w:r>
    </w:p>
  </w:footnote>
  <w:footnote w:type="continuationSeparator" w:id="0">
    <w:p w14:paraId="4A9BA709" w14:textId="77777777" w:rsidR="00BE78DE" w:rsidRDefault="00BE78DE" w:rsidP="00611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00B05" w14:textId="77777777" w:rsidR="00611652" w:rsidRDefault="00611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72C4" w14:textId="169DF8DB" w:rsidR="00611652" w:rsidRDefault="00611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4713" w14:textId="77777777" w:rsidR="00611652" w:rsidRDefault="006116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12"/>
    <w:rsid w:val="00001CB3"/>
    <w:rsid w:val="00060935"/>
    <w:rsid w:val="00122985"/>
    <w:rsid w:val="0043297E"/>
    <w:rsid w:val="004464E0"/>
    <w:rsid w:val="004B3112"/>
    <w:rsid w:val="004F6A83"/>
    <w:rsid w:val="00565FEA"/>
    <w:rsid w:val="00566D51"/>
    <w:rsid w:val="00611652"/>
    <w:rsid w:val="00634576"/>
    <w:rsid w:val="006B30E0"/>
    <w:rsid w:val="006D31A5"/>
    <w:rsid w:val="00736BE2"/>
    <w:rsid w:val="008C7EA8"/>
    <w:rsid w:val="00963887"/>
    <w:rsid w:val="00965A8A"/>
    <w:rsid w:val="00A77D91"/>
    <w:rsid w:val="00BE78DE"/>
    <w:rsid w:val="00C04199"/>
    <w:rsid w:val="00C5220D"/>
    <w:rsid w:val="00CB5DD1"/>
    <w:rsid w:val="00E0227A"/>
    <w:rsid w:val="00E26E06"/>
    <w:rsid w:val="00EC49E2"/>
    <w:rsid w:val="00F71DAE"/>
    <w:rsid w:val="0118A40A"/>
    <w:rsid w:val="0B077EC8"/>
    <w:rsid w:val="31C4D9AF"/>
    <w:rsid w:val="3FB117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16206"/>
  <w15:docId w15:val="{D4BC2678-440C-4B3F-BC4B-63408528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611652"/>
    <w:pPr>
      <w:spacing w:after="0" w:line="240" w:lineRule="auto"/>
    </w:pPr>
  </w:style>
  <w:style w:type="paragraph" w:styleId="Header">
    <w:name w:val="header"/>
    <w:basedOn w:val="Normal"/>
    <w:link w:val="HeaderChar"/>
    <w:uiPriority w:val="99"/>
    <w:unhideWhenUsed/>
    <w:rsid w:val="00611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652"/>
  </w:style>
  <w:style w:type="paragraph" w:styleId="Footer">
    <w:name w:val="footer"/>
    <w:basedOn w:val="Normal"/>
    <w:link w:val="FooterChar"/>
    <w:uiPriority w:val="99"/>
    <w:unhideWhenUsed/>
    <w:rsid w:val="00611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652"/>
  </w:style>
  <w:style w:type="character" w:styleId="CommentReference">
    <w:name w:val="annotation reference"/>
    <w:basedOn w:val="DefaultParagraphFont"/>
    <w:uiPriority w:val="99"/>
    <w:semiHidden/>
    <w:unhideWhenUsed/>
    <w:rsid w:val="00566D51"/>
    <w:rPr>
      <w:sz w:val="16"/>
      <w:szCs w:val="16"/>
    </w:rPr>
  </w:style>
  <w:style w:type="paragraph" w:styleId="CommentText">
    <w:name w:val="annotation text"/>
    <w:basedOn w:val="Normal"/>
    <w:link w:val="CommentTextChar"/>
    <w:uiPriority w:val="99"/>
    <w:semiHidden/>
    <w:unhideWhenUsed/>
    <w:rsid w:val="00566D51"/>
    <w:pPr>
      <w:spacing w:line="240" w:lineRule="auto"/>
    </w:pPr>
    <w:rPr>
      <w:sz w:val="20"/>
      <w:szCs w:val="20"/>
    </w:rPr>
  </w:style>
  <w:style w:type="character" w:customStyle="1" w:styleId="CommentTextChar">
    <w:name w:val="Comment Text Char"/>
    <w:basedOn w:val="DefaultParagraphFont"/>
    <w:link w:val="CommentText"/>
    <w:uiPriority w:val="99"/>
    <w:semiHidden/>
    <w:rsid w:val="00566D51"/>
    <w:rPr>
      <w:sz w:val="20"/>
      <w:szCs w:val="20"/>
    </w:rPr>
  </w:style>
  <w:style w:type="paragraph" w:styleId="CommentSubject">
    <w:name w:val="annotation subject"/>
    <w:basedOn w:val="CommentText"/>
    <w:next w:val="CommentText"/>
    <w:link w:val="CommentSubjectChar"/>
    <w:uiPriority w:val="99"/>
    <w:semiHidden/>
    <w:unhideWhenUsed/>
    <w:rsid w:val="00566D51"/>
    <w:rPr>
      <w:b/>
      <w:bCs/>
    </w:rPr>
  </w:style>
  <w:style w:type="character" w:customStyle="1" w:styleId="CommentSubjectChar">
    <w:name w:val="Comment Subject Char"/>
    <w:basedOn w:val="CommentTextChar"/>
    <w:link w:val="CommentSubject"/>
    <w:uiPriority w:val="99"/>
    <w:semiHidden/>
    <w:rsid w:val="00566D51"/>
    <w:rPr>
      <w:b/>
      <w:bCs/>
      <w:sz w:val="20"/>
      <w:szCs w:val="20"/>
    </w:rPr>
  </w:style>
  <w:style w:type="paragraph" w:styleId="BalloonText">
    <w:name w:val="Balloon Text"/>
    <w:basedOn w:val="Normal"/>
    <w:link w:val="BalloonTextChar"/>
    <w:uiPriority w:val="99"/>
    <w:semiHidden/>
    <w:unhideWhenUsed/>
    <w:rsid w:val="00566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14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18aade81-f872-4f28-94ef-cf9320761ffb_1" sourcehash="1004664228" targethash="-1157881535"/>
  <segment id="fb56e13b-6483-4af5-b48f-d5eed38d475b_2" sourcehash="-209557788" targethash="-209557788"/>
  <segment id="cd6b06e2-d3dd-484a-a0eb-cbf277b7e315_3" sourcehash="-209557785" targethash="-209557785"/>
  <segment id="29be6d2c-81d3-4e61-a39a-a36381616e2a_4" sourcehash="-788119000" targethash="1326473776"/>
  <segment id="ff095c06-98cf-4578-84e4-972b5005e156_5" sourcehash="1975998460" targethash="-893331458"/>
  <segment id="06d41cc0-8c41-4c1f-8099-2ce8b9ccc8f4_6" sourcehash="-1908536591" targethash="1454820822"/>
  <segment id="57b4057b-5d34-4426-97cd-559cfb428759_7" sourcehash="1025096314" targethash="1567474040"/>
  <segment id="9f769008-4856-42c9-8811-c6ae8f5381b7_8" sourcehash="-235984429" targethash="-713810622"/>
  <segment id="df0169cc-e249-405a-bfd8-970ecd614280_9" sourcehash="8259799" targethash="-1980705785"/>
  <segment id="7da2b795-e2e6-47be-9f36-792ad1769fb8_10" sourcehash="1950292715" targethash="2053172659"/>
  <segment id="79898dcd-8f99-4c11-b85c-14404f8b3b33_11" sourcehash="1982496515" targethash="-126722283"/>
  <segment id="ffb15c04-52aa-4a22-9ba9-6a0b3d5d1061_12" sourcehash="-1370516445" targethash="-561748140"/>
  <segment id="7f8f666f-6cc5-4780-84ab-e8868607db76_13" sourcehash="-532746773" targethash="230692379"/>
  <segment id="38f2b877-f538-4c2b-907e-a64f4f1b90e0_14" sourcehash="224516914" targethash="358010772"/>
  <segment id="d64739d8-8f87-40e6-98b7-12975b75ce47_15" sourcehash="2559599" targethash="-1718164622"/>
  <segment id="96d6bc24-dcee-4751-9d8f-20c02efd4f83_16" sourcehash="-373928249" targethash="-2087963617"/>
  <segment id="caa47d03-b618-4c56-86fa-d31adf30afe3_17" sourcehash="1064230114" targethash="-1106544286"/>
  <segment id="51aa9f4b-e79f-4a6e-8b56-dd882c5452f4_18" sourcehash="1049733170" targethash="767369489"/>
  <segment id="5e1164e6-75af-4f80-8816-b1c7b9c14df2_19" sourcehash="1143774399" targethash="527835517"/>
  <segment id="7898f29d-adc8-4690-b1de-37b724178cb0_20" sourcehash="-122400588" targethash="-1353644683"/>
  <segment id="f06caf52-d990-424c-8792-871df2a13c7c_21" sourcehash="-1657628539" targethash="-2070119074"/>
  <segment id="83bdfa0b-53d1-44a9-8a87-92e2aa4285e1_22" sourcehash="-1734115805" targethash="-1277164280"/>
  <segment id="410eaae0-4b62-44b2-ab4b-71a8b59459f8_23" sourcehash="-1790508538" targethash="-2114659720"/>
  <segment id="3f7e43df-6982-449c-8e86-0296251c5242_24" sourcehash="-110015430" targethash="-649463061"/>
  <segment id="3781fd07-bae8-49a9-bd01-31dee6666250_25" sourcehash="507502324" targethash="1167027006"/>
  <segment id="1f8f0dfc-c61e-4a90-8d28-56430c626a78_26" sourcehash="-683276164" targethash="966502974"/>
  <segment id="89cb2fad-95e8-43d2-b5cc-9c474c321b20_27" sourcehash="1890081098" targethash="-545588625"/>
  <segment id="39a728ba-6486-4aaf-93f6-d40ae5d04235_28" sourcehash="-682835907" targethash="-766848799"/>
  <segment id="832a8ab1-2870-474d-9be6-0c06158ce12a_29" sourcehash="-698629258" targethash="1395550323"/>
  <segment id="6017f2e2-4ac9-4dcb-9fb7-d01c22dcea92_30" sourcehash="-831895597" targethash="-1813353041"/>
  <segment id="dba105ca-4bd0-4534-bae7-d2887e391fb2_31" sourcehash="914650668" targethash="-296075028"/>
  <segment id="e8fe791b-f45c-4c45-8a25-061745759db4_32" sourcehash="795284466" targethash="1001078132"/>
  <segment id="565089c6-104a-4eaa-b0a4-55fd9c130407_33" sourcehash="1088709302" targethash="-591068366"/>
  <segment id="e99057c3-bac1-4055-85fa-9caec7042c09_34" sourcehash="1857459305" targethash="1055835826"/>
  <segment id="58c6357e-8f89-4588-b624-b3fe5c54ccb7_35" sourcehash="-461929515" targethash="-260809373"/>
  <segment id="4c249bce-e1ae-4035-83b5-5bc3f5caae15_36" sourcehash="841714502" targethash="1994770158"/>
  <segment id="8ff47474-aba2-4313-99a0-a1cd57266132_37" sourcehash="1874806528" targethash="1710017664"/>
  <segment id="da7205c0-c760-4b04-896a-2cba00087be9_38" sourcehash="703389195" targethash="1843982398"/>
  <segment id="eb0b3bbb-fc6b-4c86-a32f-7a384b5de486_39" sourcehash="229078941" targethash="-1564814416"/>
  <segment id="c5b58356-f7f5-4b8b-92db-03abfe87007f_40" sourcehash="-1856153368" targethash="-1335010474"/>
  <segment id="34f96fc7-a55a-40ef-b04b-b2cca903b859_41" sourcehash="-2027206905" targethash="168062609"/>
  <segment id="16aa7b88-d65b-4f32-9574-6fa704bf8658_42" sourcehash="-1104149261" targethash="-554593184"/>
  <segment id="92b1d9f2-a700-4e1e-abea-7c77000e4e2d_43" sourcehash="1002904403" targethash="573439076"/>
  <segment id="a383e496-f186-46ab-b72a-154bf3520a3b_44" sourcehash="471539336" targethash="2078675831"/>
  <segment id="9756e3d0-f6bf-44b4-ac46-d102dcf6615b_45" sourcehash="-49431366" targethash="-1150224719"/>
  <segment id="1c1518b2-232f-430c-9699-265389e6677d_46" sourcehash="-1981790170" targethash="-1433735337"/>
  <segment id="2ef63866-fb77-444d-8fbf-60f8d806b993_47" sourcehash="704347819" targethash="1172969751"/>
  <segment id="f721633d-bfaf-4df0-92a0-922e38dfc641_48" sourcehash="-1209278629" targethash="-723339331"/>
  <segment id="8ec5169a-17bb-4013-bf30-42195e86dffb_49" sourcehash="506041751" targethash="-580464921"/>
  <segment id="36490a1d-4c0a-46a5-a55e-f232cde2c636_50" sourcehash="-1933989170" targethash="-2116167976"/>
  <segment id="9a8ec8b9-8214-4191-82db-d4b984be2e77_51" sourcehash="-191024805" targethash="415094721"/>
  <segment id="2b17b333-449b-444a-a01e-ab805e72decf_52" sourcehash="-1743480007" targethash="124258116"/>
  <segment id="f906efdf-17e6-4337-8637-b10aa0a49204_53" sourcehash="363555653" targethash="-1092574025"/>
  <segment id="f906efdf-17e6-4337-8637-b10aa0a49204_54" sourcehash="737811965" targethash="-1768513572"/>
  <segment id="7c09542c-2547-4467-a32e-d13f2467610c_55" sourcehash="-2026222106" targethash="-750732573"/>
  <segment id="7c09542c-2547-4467-a32e-d13f2467610c_56" sourcehash="26929863" targethash="-285447072"/>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9</cp:revision>
  <dcterms:created xsi:type="dcterms:W3CDTF">2024-12-28T19:45:00Z</dcterms:created>
  <dcterms:modified xsi:type="dcterms:W3CDTF">2025-05-08T07:35:00Z</dcterms:modified>
</cp:coreProperties>
</file>