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EC4F6" w14:textId="77777777" w:rsidR="00707BBA" w:rsidRPr="00707BBA" w:rsidRDefault="00707BBA" w:rsidP="00707BBA">
      <w:pPr>
        <w:spacing w:line="360" w:lineRule="auto"/>
        <w:rPr>
          <w:rFonts w:ascii="Arial" w:hAnsi="Arial" w:cs="Arial"/>
          <w:b/>
          <w:bCs/>
          <w:sz w:val="28"/>
          <w:szCs w:val="28"/>
          <w:lang w:val="en-GB"/>
        </w:rPr>
      </w:pPr>
      <w:r w:rsidRPr="00707BBA">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30397F6" w14:textId="77777777" w:rsidR="00707BBA" w:rsidRPr="00707BBA" w:rsidRDefault="00707BBA" w:rsidP="00707BBA">
      <w:pPr>
        <w:spacing w:line="360" w:lineRule="auto"/>
        <w:rPr>
          <w:rFonts w:ascii="Arial" w:hAnsi="Arial" w:cs="Arial"/>
          <w:b/>
          <w:bCs/>
          <w:sz w:val="28"/>
          <w:szCs w:val="28"/>
          <w:lang w:val="en-GB"/>
        </w:rPr>
      </w:pPr>
      <w:r w:rsidRPr="00707BBA">
        <w:rPr>
          <w:rFonts w:ascii="Arial" w:hAnsi="Arial" w:cs="Arial"/>
          <w:b/>
          <w:bCs/>
          <w:sz w:val="28"/>
          <w:szCs w:val="28"/>
          <w:lang w:val="en-GB"/>
        </w:rPr>
        <w:t>For any corrections, remarks, or suggestions, kindly contact us on translate@lloc.gov.bh</w:t>
      </w:r>
    </w:p>
    <w:p w14:paraId="0AE61BFB" w14:textId="4BE9A7B6" w:rsidR="00707BBA" w:rsidRPr="00707BBA" w:rsidRDefault="00707BBA" w:rsidP="00707BBA">
      <w:pPr>
        <w:spacing w:line="360" w:lineRule="auto"/>
        <w:rPr>
          <w:rFonts w:ascii="Arial" w:hAnsi="Arial" w:cs="Arial"/>
          <w:b/>
          <w:bCs/>
          <w:sz w:val="28"/>
          <w:szCs w:val="28"/>
          <w:lang w:val="en-GB"/>
        </w:rPr>
      </w:pPr>
      <w:r w:rsidRPr="00707BBA">
        <w:rPr>
          <w:rFonts w:ascii="Arial" w:hAnsi="Arial" w:cs="Arial"/>
          <w:b/>
          <w:bCs/>
          <w:sz w:val="28"/>
          <w:szCs w:val="28"/>
          <w:lang w:val="en-GB"/>
        </w:rPr>
        <w:t>Published on the website on April 2025</w:t>
      </w:r>
      <w:r w:rsidRPr="00707BBA">
        <w:rPr>
          <w:rFonts w:ascii="Arial" w:hAnsi="Arial" w:cs="Arial"/>
          <w:b/>
          <w:bCs/>
          <w:sz w:val="28"/>
          <w:szCs w:val="28"/>
          <w:lang w:val="en-GB"/>
        </w:rPr>
        <w:br w:type="page"/>
      </w:r>
    </w:p>
    <w:p w14:paraId="1D039361" w14:textId="73C5EB70" w:rsidR="00E70E64" w:rsidRPr="00707BBA" w:rsidRDefault="00E70E64" w:rsidP="00707BBA">
      <w:pPr>
        <w:spacing w:line="360" w:lineRule="auto"/>
        <w:jc w:val="center"/>
        <w:rPr>
          <w:rFonts w:ascii="Arial" w:hAnsi="Arial" w:cs="Arial"/>
          <w:b/>
          <w:bCs/>
          <w:sz w:val="28"/>
          <w:szCs w:val="28"/>
        </w:rPr>
      </w:pPr>
      <w:r w:rsidRPr="00707BBA">
        <w:rPr>
          <w:rFonts w:ascii="Arial" w:hAnsi="Arial" w:cs="Arial"/>
          <w:b/>
          <w:bCs/>
          <w:sz w:val="28"/>
          <w:szCs w:val="28"/>
          <w:lang w:val="en-GB"/>
        </w:rPr>
        <w:lastRenderedPageBreak/>
        <w:t>Legislative Decree No. (46) of 2010</w:t>
      </w:r>
    </w:p>
    <w:p w14:paraId="1B77C50C" w14:textId="0EEDF19B" w:rsidR="00E70E64" w:rsidRPr="00707BBA" w:rsidRDefault="00E70E64" w:rsidP="00707BBA">
      <w:pPr>
        <w:spacing w:line="360" w:lineRule="auto"/>
        <w:jc w:val="center"/>
        <w:rPr>
          <w:rFonts w:ascii="Arial" w:hAnsi="Arial" w:cs="Arial"/>
          <w:b/>
          <w:bCs/>
          <w:sz w:val="28"/>
          <w:szCs w:val="28"/>
          <w:lang w:val="en-GB"/>
        </w:rPr>
      </w:pPr>
      <w:r w:rsidRPr="00707BBA">
        <w:rPr>
          <w:rFonts w:ascii="Arial" w:hAnsi="Arial" w:cs="Arial"/>
          <w:b/>
          <w:bCs/>
          <w:sz w:val="28"/>
          <w:szCs w:val="28"/>
          <w:lang w:val="en-GB"/>
        </w:rPr>
        <w:t>Amending Certain Provisions of the Military Penal Code</w:t>
      </w:r>
    </w:p>
    <w:p w14:paraId="36AFEAA5" w14:textId="2D39BF97" w:rsidR="00E70E64" w:rsidRPr="00707BBA" w:rsidRDefault="00E70E64" w:rsidP="00707BBA">
      <w:pPr>
        <w:spacing w:line="360" w:lineRule="auto"/>
        <w:jc w:val="center"/>
        <w:rPr>
          <w:rFonts w:ascii="Arial" w:hAnsi="Arial" w:cs="Arial"/>
          <w:b/>
          <w:bCs/>
          <w:sz w:val="28"/>
          <w:szCs w:val="28"/>
          <w:lang w:val="en-GB"/>
        </w:rPr>
      </w:pPr>
      <w:r w:rsidRPr="00707BBA">
        <w:rPr>
          <w:rFonts w:ascii="Arial" w:hAnsi="Arial" w:cs="Arial"/>
          <w:b/>
          <w:bCs/>
          <w:sz w:val="28"/>
          <w:szCs w:val="28"/>
          <w:lang w:val="en-GB"/>
        </w:rPr>
        <w:t>promulgated by Legislative Decree No. (34) of 2002</w:t>
      </w:r>
    </w:p>
    <w:p w14:paraId="01EE229F" w14:textId="77777777" w:rsidR="00E70E64" w:rsidRPr="00707BBA" w:rsidRDefault="00E70E64" w:rsidP="00707BBA">
      <w:pPr>
        <w:spacing w:line="360" w:lineRule="auto"/>
        <w:jc w:val="center"/>
        <w:rPr>
          <w:rFonts w:ascii="Arial" w:hAnsi="Arial" w:cs="Arial"/>
          <w:b/>
          <w:bCs/>
          <w:sz w:val="28"/>
          <w:szCs w:val="28"/>
          <w:lang w:val="en-GB"/>
        </w:rPr>
      </w:pPr>
    </w:p>
    <w:p w14:paraId="15C996D5" w14:textId="6D00C861"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We, Salman bin Hamad Al Khalifa,</w:t>
      </w:r>
      <w:r w:rsidR="00F1070F">
        <w:rPr>
          <w:rFonts w:ascii="Arial" w:hAnsi="Arial" w:cs="Arial"/>
          <w:sz w:val="28"/>
          <w:szCs w:val="28"/>
          <w:lang w:val="en-GB"/>
        </w:rPr>
        <w:t xml:space="preserve"> </w:t>
      </w:r>
      <w:r w:rsidRPr="00707BBA">
        <w:rPr>
          <w:rFonts w:ascii="Arial" w:hAnsi="Arial" w:cs="Arial"/>
          <w:sz w:val="28"/>
          <w:szCs w:val="28"/>
          <w:lang w:val="en-GB"/>
        </w:rPr>
        <w:t>Acting King of the Kingdom of Bahrain.</w:t>
      </w:r>
    </w:p>
    <w:p w14:paraId="71AC2984"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Having reviewed the Constitution,</w:t>
      </w:r>
    </w:p>
    <w:p w14:paraId="74C1995F"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The Cassation Court Law promulgated by Legislative Decree No. (8) of 1989, as amended,</w:t>
      </w:r>
    </w:p>
    <w:p w14:paraId="4225CB6C"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The Bahrain Defence Force Law promulgated by Legislative Decree No. (32) of 2002,</w:t>
      </w:r>
    </w:p>
    <w:p w14:paraId="3EF9B617"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 xml:space="preserve">The Military Penal Code promulgated by Legislative Decree No. (34) of 2002, </w:t>
      </w:r>
    </w:p>
    <w:p w14:paraId="0CCB719E"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And the Judicial Authority Law promulgated by Legislative Decree No. (42) of 2002, as amended,</w:t>
      </w:r>
    </w:p>
    <w:p w14:paraId="73D26508"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And upon the submission of the Minister of State for Defence Affairs,</w:t>
      </w:r>
    </w:p>
    <w:p w14:paraId="697ACB4E"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And after the approval of the Cabinet,</w:t>
      </w:r>
    </w:p>
    <w:p w14:paraId="26D662A7" w14:textId="77777777" w:rsidR="00E70E64" w:rsidRPr="00707BBA" w:rsidRDefault="00E70E64" w:rsidP="00707BBA">
      <w:pPr>
        <w:spacing w:line="360" w:lineRule="auto"/>
        <w:jc w:val="center"/>
        <w:rPr>
          <w:rFonts w:ascii="Arial" w:hAnsi="Arial" w:cs="Arial"/>
          <w:sz w:val="28"/>
          <w:szCs w:val="28"/>
          <w:lang w:val="en-GB"/>
        </w:rPr>
      </w:pPr>
      <w:r w:rsidRPr="00707BBA">
        <w:rPr>
          <w:rFonts w:ascii="Arial" w:hAnsi="Arial" w:cs="Arial"/>
          <w:sz w:val="28"/>
          <w:szCs w:val="28"/>
          <w:lang w:val="en-GB"/>
        </w:rPr>
        <w:t>Hereby Decree the following Law:</w:t>
      </w:r>
    </w:p>
    <w:p w14:paraId="0993690D" w14:textId="77777777" w:rsidR="00E70E64" w:rsidRPr="00707BBA" w:rsidRDefault="00E70E64" w:rsidP="00707BBA">
      <w:pPr>
        <w:spacing w:line="360" w:lineRule="auto"/>
        <w:jc w:val="center"/>
        <w:rPr>
          <w:rFonts w:ascii="Arial" w:hAnsi="Arial" w:cs="Arial"/>
          <w:sz w:val="28"/>
          <w:szCs w:val="28"/>
          <w:lang w:val="en-GB"/>
        </w:rPr>
      </w:pPr>
      <w:r w:rsidRPr="00707BBA">
        <w:rPr>
          <w:rFonts w:ascii="Arial" w:hAnsi="Arial" w:cs="Arial"/>
          <w:sz w:val="28"/>
          <w:szCs w:val="28"/>
          <w:lang w:val="en-GB"/>
        </w:rPr>
        <w:t>Article One</w:t>
      </w:r>
    </w:p>
    <w:p w14:paraId="7731DD07"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The texts of Articles (5, 6, 11, 47, 73) of the Military Penal Code shall be replaced with the following texts:</w:t>
      </w:r>
    </w:p>
    <w:p w14:paraId="4EF9566B" w14:textId="77777777" w:rsidR="00E70E64" w:rsidRPr="00707BBA" w:rsidRDefault="00E70E64" w:rsidP="00F1070F">
      <w:pPr>
        <w:keepNext/>
        <w:spacing w:line="360" w:lineRule="auto"/>
        <w:jc w:val="both"/>
        <w:rPr>
          <w:rFonts w:ascii="Arial" w:hAnsi="Arial" w:cs="Arial"/>
          <w:sz w:val="28"/>
          <w:szCs w:val="28"/>
          <w:lang w:val="en-GB"/>
        </w:rPr>
      </w:pPr>
      <w:r w:rsidRPr="00707BBA">
        <w:rPr>
          <w:rFonts w:ascii="Arial" w:hAnsi="Arial" w:cs="Arial"/>
          <w:sz w:val="28"/>
          <w:szCs w:val="28"/>
          <w:lang w:val="en-GB"/>
        </w:rPr>
        <w:lastRenderedPageBreak/>
        <w:t>Article (5):</w:t>
      </w:r>
    </w:p>
    <w:p w14:paraId="4E7530E5" w14:textId="77777777" w:rsidR="00E70E64" w:rsidRPr="00707BBA" w:rsidRDefault="00E70E64" w:rsidP="00F1070F">
      <w:pPr>
        <w:keepNext/>
        <w:spacing w:line="360" w:lineRule="auto"/>
        <w:jc w:val="both"/>
        <w:rPr>
          <w:rFonts w:ascii="Arial" w:hAnsi="Arial" w:cs="Arial"/>
          <w:sz w:val="28"/>
          <w:szCs w:val="28"/>
          <w:lang w:val="en-GB"/>
        </w:rPr>
      </w:pPr>
      <w:r w:rsidRPr="00707BBA">
        <w:rPr>
          <w:rFonts w:ascii="Arial" w:hAnsi="Arial" w:cs="Arial"/>
          <w:sz w:val="28"/>
          <w:szCs w:val="28"/>
          <w:lang w:val="en-GB"/>
        </w:rPr>
        <w:t>The military judiciary is an independent judicial authority composed of military courts, military prosecution offices, and other technical branches in accordance with the provisions of this Law and the laws and regulations of the Bahrain Defence Force.</w:t>
      </w:r>
    </w:p>
    <w:p w14:paraId="00E19BDC"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Article (6):</w:t>
      </w:r>
    </w:p>
    <w:p w14:paraId="6A24F227"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The administration of the military judiciary shall be entrusted to an officer qualified in law, assisted by a sufficient number of officer members qualified in law and legal advisors. A royal decree shall be issued to appoint the director and members of the military judiciary based on the proposal of the Commander-in-Chief.</w:t>
      </w:r>
    </w:p>
    <w:p w14:paraId="266ABAF5"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Article (11):</w:t>
      </w:r>
    </w:p>
    <w:p w14:paraId="67930073"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 Military judges are independent and shall not be subject to any authority in their judicial capacity other than the law, and they may only be dismissed through disciplinary procedures. Their status shall be similar to that of their counterparts in the judiciary and public prosecution as outlined in the attached table concerning the application of this Law.</w:t>
      </w:r>
    </w:p>
    <w:p w14:paraId="0D852581"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b. A decision shall be issued by the Commander-in-Chief regarding the conditions and procedures for appointing members of the military judiciary, their discipline, organising their duties, and judicial inspection over them based on the proposal of the Director of the Military Judiciary.</w:t>
      </w:r>
    </w:p>
    <w:p w14:paraId="47FC84A7" w14:textId="77777777" w:rsidR="00E70E64" w:rsidRPr="00707BBA" w:rsidRDefault="00E70E64" w:rsidP="00F1070F">
      <w:pPr>
        <w:keepNext/>
        <w:spacing w:line="360" w:lineRule="auto"/>
        <w:jc w:val="both"/>
        <w:rPr>
          <w:rFonts w:ascii="Arial" w:hAnsi="Arial" w:cs="Arial"/>
          <w:sz w:val="28"/>
          <w:szCs w:val="28"/>
          <w:lang w:val="en-GB"/>
        </w:rPr>
      </w:pPr>
      <w:r w:rsidRPr="00707BBA">
        <w:rPr>
          <w:rFonts w:ascii="Arial" w:hAnsi="Arial" w:cs="Arial"/>
          <w:sz w:val="28"/>
          <w:szCs w:val="28"/>
          <w:lang w:val="en-GB"/>
        </w:rPr>
        <w:lastRenderedPageBreak/>
        <w:t>Article (47):</w:t>
      </w:r>
    </w:p>
    <w:p w14:paraId="3D79DCC0" w14:textId="77777777" w:rsidR="00E70E64" w:rsidRPr="00707BBA" w:rsidRDefault="00E70E64" w:rsidP="00F1070F">
      <w:pPr>
        <w:keepNext/>
        <w:spacing w:line="360" w:lineRule="auto"/>
        <w:jc w:val="both"/>
        <w:rPr>
          <w:rFonts w:ascii="Arial" w:hAnsi="Arial" w:cs="Arial"/>
          <w:sz w:val="28"/>
          <w:szCs w:val="28"/>
          <w:lang w:val="en-GB"/>
        </w:rPr>
      </w:pPr>
      <w:r w:rsidRPr="00707BBA">
        <w:rPr>
          <w:rFonts w:ascii="Arial" w:hAnsi="Arial" w:cs="Arial"/>
          <w:sz w:val="28"/>
          <w:szCs w:val="28"/>
          <w:lang w:val="en-GB"/>
        </w:rPr>
        <w:t>The Supreme Military Court of Appeal is competent to adjudicate appeals against rulings issued by the major military courts.</w:t>
      </w:r>
    </w:p>
    <w:p w14:paraId="071682AD"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Article (73):</w:t>
      </w:r>
    </w:p>
    <w:p w14:paraId="059FE0EC"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 ruling imposing the death penalty issued by military courts for crimes stipulated in the Penal Code or other penal laws shall be considered subject to appeal by force of law before the Military Court of Cassation. The Military Prosecution shall prepare the appeal memorandum within the prescribed time limits for appealing rulings before the Court of Cassation, resulting in a stay of execution of the ruling.</w:t>
      </w:r>
    </w:p>
    <w:p w14:paraId="61846871" w14:textId="77777777" w:rsidR="00E70E64" w:rsidRPr="00707BBA" w:rsidRDefault="00E70E64" w:rsidP="00707BBA">
      <w:pPr>
        <w:spacing w:line="360" w:lineRule="auto"/>
        <w:jc w:val="center"/>
        <w:rPr>
          <w:rFonts w:ascii="Arial" w:hAnsi="Arial" w:cs="Arial"/>
          <w:sz w:val="28"/>
          <w:szCs w:val="28"/>
          <w:lang w:val="en-GB"/>
        </w:rPr>
      </w:pPr>
      <w:r w:rsidRPr="00707BBA">
        <w:rPr>
          <w:rFonts w:ascii="Arial" w:hAnsi="Arial" w:cs="Arial"/>
          <w:sz w:val="28"/>
          <w:szCs w:val="28"/>
          <w:lang w:val="en-GB"/>
        </w:rPr>
        <w:t>Article Two</w:t>
      </w:r>
    </w:p>
    <w:p w14:paraId="2FA7A56C"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 new clause numbered (a) shall be added to Article (35) of the Military Penal Code, and the remaining clauses of this Article shall be rearranged. Additionally, two new Articles numbered (35 bis) and (46 bis) shall be added as follows:</w:t>
      </w:r>
    </w:p>
    <w:p w14:paraId="4D81E910"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Article (35)</w:t>
      </w:r>
    </w:p>
    <w:p w14:paraId="0BD6F9EF"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Military Courts are:</w:t>
      </w:r>
    </w:p>
    <w:p w14:paraId="513F079C"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 The Military Court of Cassation.</w:t>
      </w:r>
    </w:p>
    <w:p w14:paraId="7A13D7F1"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Article (35 bis):</w:t>
      </w:r>
    </w:p>
    <w:p w14:paraId="66502472"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The Military Court of Cassation shall be composed of no fewer than five judges from the military judiciary, presided over by the Director of the Military Judiciary or the most senior member.</w:t>
      </w:r>
    </w:p>
    <w:p w14:paraId="2B9318D6"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lastRenderedPageBreak/>
        <w:t>Article (46) bis:</w:t>
      </w:r>
    </w:p>
    <w:p w14:paraId="452C810A"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The Military Court of Cassation shall be competent to:</w:t>
      </w:r>
    </w:p>
    <w:p w14:paraId="575F386B" w14:textId="77777777" w:rsidR="00E70E64" w:rsidRPr="00707BBA" w:rsidRDefault="00E70E64" w:rsidP="00707BBA">
      <w:pPr>
        <w:spacing w:line="360" w:lineRule="auto"/>
        <w:ind w:left="720"/>
        <w:jc w:val="both"/>
        <w:rPr>
          <w:rFonts w:ascii="Arial" w:hAnsi="Arial" w:cs="Arial"/>
          <w:sz w:val="28"/>
          <w:szCs w:val="28"/>
          <w:lang w:val="en-GB"/>
        </w:rPr>
      </w:pPr>
      <w:r w:rsidRPr="00707BBA">
        <w:rPr>
          <w:rFonts w:ascii="Arial" w:hAnsi="Arial" w:cs="Arial"/>
          <w:sz w:val="28"/>
          <w:szCs w:val="28"/>
          <w:lang w:val="en-GB"/>
        </w:rPr>
        <w:t>1- Consider appeals submitted by the Military Prosecution or the convicted person against final rulings issued by the Higher Military Court of Appeal or the Major Military Court in its appellate capacity in felonies or misdemeanours.</w:t>
      </w:r>
    </w:p>
    <w:p w14:paraId="7B044E43" w14:textId="77777777" w:rsidR="00E70E64" w:rsidRPr="00707BBA" w:rsidRDefault="00E70E64" w:rsidP="00707BBA">
      <w:pPr>
        <w:spacing w:line="360" w:lineRule="auto"/>
        <w:ind w:left="720"/>
        <w:jc w:val="both"/>
        <w:rPr>
          <w:rFonts w:ascii="Arial" w:hAnsi="Arial" w:cs="Arial"/>
          <w:sz w:val="28"/>
          <w:szCs w:val="28"/>
          <w:lang w:val="en-GB"/>
        </w:rPr>
      </w:pPr>
      <w:r w:rsidRPr="00707BBA">
        <w:rPr>
          <w:rFonts w:ascii="Arial" w:hAnsi="Arial" w:cs="Arial"/>
          <w:sz w:val="28"/>
          <w:szCs w:val="28"/>
          <w:lang w:val="en-GB"/>
        </w:rPr>
        <w:t xml:space="preserve">2- Adjudicate requests for retrial of final rulings imposing penalties in felony and misdemeanour cases, with the right to request a retrial vested in the Chief of Military Prosecution either </w:t>
      </w:r>
      <w:r w:rsidRPr="00707BBA">
        <w:rPr>
          <w:rFonts w:ascii="Arial" w:hAnsi="Arial" w:cs="Arial"/>
          <w:i/>
          <w:iCs/>
          <w:sz w:val="28"/>
          <w:szCs w:val="28"/>
          <w:lang w:val="en-GB"/>
        </w:rPr>
        <w:t>ex officio</w:t>
      </w:r>
      <w:r w:rsidRPr="00707BBA">
        <w:rPr>
          <w:rFonts w:ascii="Arial" w:hAnsi="Arial" w:cs="Arial"/>
          <w:sz w:val="28"/>
          <w:szCs w:val="28"/>
          <w:lang w:val="en-GB"/>
        </w:rPr>
        <w:t xml:space="preserve"> or upon request by the convicted person or their legal representative if they are incapacitated or missing, or at the request of a relative or spouse following their death.</w:t>
      </w:r>
    </w:p>
    <w:p w14:paraId="6F3B6808" w14:textId="77777777" w:rsidR="00E70E64" w:rsidRPr="00707BBA" w:rsidRDefault="00E70E64" w:rsidP="00707BBA">
      <w:pPr>
        <w:spacing w:line="360" w:lineRule="auto"/>
        <w:ind w:left="720"/>
        <w:jc w:val="both"/>
        <w:rPr>
          <w:rFonts w:ascii="Arial" w:hAnsi="Arial" w:cs="Arial"/>
          <w:sz w:val="28"/>
          <w:szCs w:val="28"/>
          <w:lang w:val="en-GB"/>
        </w:rPr>
      </w:pPr>
      <w:r w:rsidRPr="00707BBA">
        <w:rPr>
          <w:rFonts w:ascii="Arial" w:hAnsi="Arial" w:cs="Arial"/>
          <w:sz w:val="28"/>
          <w:szCs w:val="28"/>
          <w:lang w:val="en-GB"/>
        </w:rPr>
        <w:t>3- Resolve conflicts of jurisdiction between military courts.</w:t>
      </w:r>
    </w:p>
    <w:p w14:paraId="5512F94F"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The time limits and procedures stipulated by law for appealing rulings and requesting retrials in criminal matters, under Legislative Decree No. (8) of 1989 Promulgating the Court of Cassation Law, shall apply to cases of cassation and requests for retrials, provided they do not conflict with the provisions of this Law.</w:t>
      </w:r>
    </w:p>
    <w:p w14:paraId="53F33606"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In the case of annulling a ruling, the court shall address the subject matter of the lawsuit without returning it to the court that issued it and shall consider it as a trial court, following the procedures established for the trial of the committed offence.</w:t>
      </w:r>
    </w:p>
    <w:p w14:paraId="346C545B" w14:textId="77777777" w:rsidR="00E70E64" w:rsidRPr="00707BBA" w:rsidRDefault="00E70E64" w:rsidP="00F1070F">
      <w:pPr>
        <w:keepNext/>
        <w:spacing w:line="360" w:lineRule="auto"/>
        <w:jc w:val="center"/>
        <w:rPr>
          <w:rFonts w:ascii="Arial" w:hAnsi="Arial" w:cs="Arial"/>
          <w:sz w:val="28"/>
          <w:szCs w:val="28"/>
          <w:lang w:val="en-GB"/>
        </w:rPr>
      </w:pPr>
      <w:r w:rsidRPr="00707BBA">
        <w:rPr>
          <w:rFonts w:ascii="Arial" w:hAnsi="Arial" w:cs="Arial"/>
          <w:sz w:val="28"/>
          <w:szCs w:val="28"/>
          <w:lang w:val="en-GB"/>
        </w:rPr>
        <w:lastRenderedPageBreak/>
        <w:t>Article Three</w:t>
      </w:r>
    </w:p>
    <w:p w14:paraId="3AECE82C" w14:textId="77777777" w:rsidR="00E70E64" w:rsidRPr="00707BBA" w:rsidRDefault="00E70E64" w:rsidP="00F1070F">
      <w:pPr>
        <w:keepNext/>
        <w:spacing w:line="360" w:lineRule="auto"/>
        <w:jc w:val="both"/>
        <w:rPr>
          <w:rFonts w:ascii="Arial" w:hAnsi="Arial" w:cs="Arial"/>
          <w:sz w:val="28"/>
          <w:szCs w:val="28"/>
          <w:lang w:val="en-GB"/>
        </w:rPr>
      </w:pPr>
      <w:r w:rsidRPr="00707BBA">
        <w:rPr>
          <w:rFonts w:ascii="Arial" w:hAnsi="Arial" w:cs="Arial"/>
          <w:sz w:val="28"/>
          <w:szCs w:val="28"/>
          <w:lang w:val="en-GB"/>
        </w:rPr>
        <w:t xml:space="preserve">Articles (8, 23, 43, 74, 76, 80) shall be repealed. </w:t>
      </w:r>
    </w:p>
    <w:p w14:paraId="2D93B3E8"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The phrase "ordinary" in Article (71) and the phrase "appeal" in Articles (72, 75) of the Military Penal Code shall also be repealed.</w:t>
      </w:r>
    </w:p>
    <w:p w14:paraId="16698F8B" w14:textId="77777777" w:rsidR="00E70E64" w:rsidRPr="00707BBA" w:rsidRDefault="00E70E64" w:rsidP="00707BBA">
      <w:pPr>
        <w:spacing w:line="360" w:lineRule="auto"/>
        <w:jc w:val="center"/>
        <w:rPr>
          <w:rFonts w:ascii="Arial" w:hAnsi="Arial" w:cs="Arial"/>
          <w:sz w:val="28"/>
          <w:szCs w:val="28"/>
          <w:lang w:val="en-GB"/>
        </w:rPr>
      </w:pPr>
      <w:r w:rsidRPr="00707BBA">
        <w:rPr>
          <w:rFonts w:ascii="Arial" w:hAnsi="Arial" w:cs="Arial"/>
          <w:sz w:val="28"/>
          <w:szCs w:val="28"/>
          <w:lang w:val="en-GB"/>
        </w:rPr>
        <w:t>Article Four</w:t>
      </w:r>
    </w:p>
    <w:p w14:paraId="6AB48D2D"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The attached Table of Military Judiciary Positions Equivalent to Judicial Authority Positions shall be enforced with this Law.</w:t>
      </w:r>
    </w:p>
    <w:p w14:paraId="2B98F4B4" w14:textId="77777777" w:rsidR="00E70E64" w:rsidRPr="00707BBA" w:rsidRDefault="00E70E64" w:rsidP="00707BBA">
      <w:pPr>
        <w:spacing w:line="360" w:lineRule="auto"/>
        <w:jc w:val="center"/>
        <w:rPr>
          <w:rFonts w:ascii="Arial" w:hAnsi="Arial" w:cs="Arial"/>
          <w:sz w:val="28"/>
          <w:szCs w:val="28"/>
          <w:lang w:val="en-GB"/>
        </w:rPr>
      </w:pPr>
      <w:r w:rsidRPr="00707BBA">
        <w:rPr>
          <w:rFonts w:ascii="Arial" w:hAnsi="Arial" w:cs="Arial"/>
          <w:sz w:val="28"/>
          <w:szCs w:val="28"/>
          <w:lang w:val="en-GB"/>
        </w:rPr>
        <w:t>Article Five</w:t>
      </w:r>
    </w:p>
    <w:p w14:paraId="25F072D0" w14:textId="77777777" w:rsidR="00E70E64" w:rsidRPr="00707BBA" w:rsidRDefault="00E70E64" w:rsidP="00707BBA">
      <w:pPr>
        <w:spacing w:line="360" w:lineRule="auto"/>
        <w:jc w:val="both"/>
        <w:rPr>
          <w:rFonts w:ascii="Arial" w:hAnsi="Arial" w:cs="Arial"/>
          <w:sz w:val="28"/>
          <w:szCs w:val="28"/>
          <w:lang w:val="en-GB"/>
        </w:rPr>
      </w:pPr>
      <w:r w:rsidRPr="00707BBA">
        <w:rPr>
          <w:rFonts w:ascii="Arial" w:hAnsi="Arial" w:cs="Arial"/>
          <w:sz w:val="28"/>
          <w:szCs w:val="28"/>
          <w:lang w:val="en-GB"/>
        </w:rPr>
        <w:t>The Prime Minister and the Ministers—each within their jurisdiction—shall implement this Law, and it shall come into force one month after the day following the date of its publication in the Official Gazette.</w:t>
      </w:r>
    </w:p>
    <w:p w14:paraId="14714BBD" w14:textId="77777777" w:rsidR="00E70E64" w:rsidRPr="00707BBA" w:rsidRDefault="00E70E64" w:rsidP="00F1070F">
      <w:pPr>
        <w:spacing w:line="360" w:lineRule="auto"/>
        <w:rPr>
          <w:rFonts w:ascii="Arial" w:hAnsi="Arial" w:cs="Arial"/>
          <w:sz w:val="28"/>
          <w:szCs w:val="28"/>
          <w:lang w:val="en-GB"/>
        </w:rPr>
      </w:pPr>
      <w:r w:rsidRPr="00707BBA">
        <w:rPr>
          <w:rFonts w:ascii="Arial" w:hAnsi="Arial" w:cs="Arial"/>
          <w:sz w:val="28"/>
          <w:szCs w:val="28"/>
          <w:lang w:val="en-GB"/>
        </w:rPr>
        <w:t>Acting King of the Kingdom of Bahrain</w:t>
      </w:r>
    </w:p>
    <w:p w14:paraId="597351A6" w14:textId="77777777" w:rsidR="00E70E64" w:rsidRPr="00707BBA" w:rsidRDefault="00E70E64" w:rsidP="00F1070F">
      <w:pPr>
        <w:spacing w:line="360" w:lineRule="auto"/>
        <w:rPr>
          <w:rFonts w:ascii="Arial" w:hAnsi="Arial" w:cs="Arial"/>
          <w:sz w:val="28"/>
          <w:szCs w:val="28"/>
          <w:lang w:val="en-GB"/>
        </w:rPr>
      </w:pPr>
      <w:r w:rsidRPr="00707BBA">
        <w:rPr>
          <w:rFonts w:ascii="Arial" w:hAnsi="Arial" w:cs="Arial"/>
          <w:sz w:val="28"/>
          <w:szCs w:val="28"/>
          <w:lang w:val="en-GB"/>
        </w:rPr>
        <w:t>Salman bin Hamad Al Khalifa</w:t>
      </w:r>
    </w:p>
    <w:p w14:paraId="38102BCA" w14:textId="77777777" w:rsidR="00E70E64" w:rsidRPr="00707BBA" w:rsidRDefault="00E70E64" w:rsidP="00F1070F">
      <w:pPr>
        <w:spacing w:line="360" w:lineRule="auto"/>
        <w:rPr>
          <w:rFonts w:ascii="Arial" w:hAnsi="Arial" w:cs="Arial"/>
          <w:sz w:val="28"/>
          <w:szCs w:val="28"/>
          <w:lang w:val="en-GB"/>
        </w:rPr>
      </w:pPr>
      <w:r w:rsidRPr="00707BBA">
        <w:rPr>
          <w:rFonts w:ascii="Arial" w:hAnsi="Arial" w:cs="Arial"/>
          <w:sz w:val="28"/>
          <w:szCs w:val="28"/>
          <w:lang w:val="en-GB"/>
        </w:rPr>
        <w:t>Prime Minister</w:t>
      </w:r>
    </w:p>
    <w:p w14:paraId="5F6CC018" w14:textId="57F6C6B5" w:rsidR="00E70E64" w:rsidRPr="00707BBA" w:rsidRDefault="00E70E64" w:rsidP="00F1070F">
      <w:pPr>
        <w:tabs>
          <w:tab w:val="center" w:pos="4680"/>
          <w:tab w:val="left" w:pos="6600"/>
        </w:tabs>
        <w:spacing w:line="360" w:lineRule="auto"/>
        <w:rPr>
          <w:rFonts w:ascii="Arial" w:hAnsi="Arial" w:cs="Arial"/>
          <w:sz w:val="28"/>
          <w:szCs w:val="28"/>
          <w:lang w:val="en-GB"/>
        </w:rPr>
      </w:pPr>
      <w:r w:rsidRPr="00707BBA">
        <w:rPr>
          <w:rFonts w:ascii="Arial" w:hAnsi="Arial" w:cs="Arial"/>
          <w:sz w:val="28"/>
          <w:szCs w:val="28"/>
          <w:lang w:val="en-GB"/>
        </w:rPr>
        <w:t>Khalifa bin Salman Al Khalifa</w:t>
      </w:r>
    </w:p>
    <w:p w14:paraId="6A123F25" w14:textId="3131E0C7" w:rsidR="00E70E64" w:rsidRPr="00707BBA" w:rsidRDefault="00E70E64" w:rsidP="00F1070F">
      <w:pPr>
        <w:spacing w:line="360" w:lineRule="auto"/>
        <w:rPr>
          <w:rFonts w:ascii="Arial" w:hAnsi="Arial" w:cs="Arial"/>
          <w:sz w:val="28"/>
          <w:szCs w:val="28"/>
          <w:lang w:val="en-GB"/>
        </w:rPr>
      </w:pPr>
      <w:r w:rsidRPr="00707BBA">
        <w:rPr>
          <w:rFonts w:ascii="Arial" w:hAnsi="Arial" w:cs="Arial"/>
          <w:sz w:val="28"/>
          <w:szCs w:val="28"/>
          <w:lang w:val="en-GB"/>
        </w:rPr>
        <w:t>Issued at Riffa Palace:</w:t>
      </w:r>
    </w:p>
    <w:p w14:paraId="6F584FC8" w14:textId="6188EFA8" w:rsidR="00E70E64" w:rsidRPr="00707BBA" w:rsidRDefault="00E70E64" w:rsidP="00F1070F">
      <w:pPr>
        <w:spacing w:line="360" w:lineRule="auto"/>
        <w:rPr>
          <w:rFonts w:ascii="Arial" w:hAnsi="Arial" w:cs="Arial"/>
          <w:sz w:val="28"/>
          <w:szCs w:val="28"/>
          <w:lang w:val="en-GB"/>
        </w:rPr>
      </w:pPr>
      <w:r w:rsidRPr="00707BBA">
        <w:rPr>
          <w:rFonts w:ascii="Arial" w:hAnsi="Arial" w:cs="Arial"/>
          <w:sz w:val="28"/>
          <w:szCs w:val="28"/>
          <w:lang w:val="en-GB"/>
        </w:rPr>
        <w:t>On:</w:t>
      </w:r>
      <w:r w:rsidR="00956335" w:rsidRPr="00707BBA">
        <w:rPr>
          <w:rFonts w:ascii="Arial" w:hAnsi="Arial" w:cs="Arial"/>
          <w:sz w:val="28"/>
          <w:szCs w:val="28"/>
          <w:lang w:val="en-GB"/>
        </w:rPr>
        <w:t xml:space="preserve"> </w:t>
      </w:r>
      <w:r w:rsidRPr="00707BBA">
        <w:rPr>
          <w:rFonts w:ascii="Arial" w:hAnsi="Arial" w:cs="Arial"/>
          <w:sz w:val="28"/>
          <w:szCs w:val="28"/>
          <w:lang w:val="en-GB"/>
        </w:rPr>
        <w:t>5 Dhu al-Hijjah 1431 AH</w:t>
      </w:r>
    </w:p>
    <w:p w14:paraId="6674746F" w14:textId="391888AE" w:rsidR="00E70E64" w:rsidRPr="00707BBA" w:rsidRDefault="00E70E64" w:rsidP="00F1070F">
      <w:pPr>
        <w:spacing w:line="360" w:lineRule="auto"/>
        <w:rPr>
          <w:rFonts w:ascii="Arial" w:hAnsi="Arial" w:cs="Arial"/>
          <w:sz w:val="28"/>
          <w:szCs w:val="28"/>
          <w:lang w:val="en-GB"/>
        </w:rPr>
      </w:pPr>
      <w:r w:rsidRPr="00707BBA">
        <w:rPr>
          <w:rFonts w:ascii="Arial" w:hAnsi="Arial" w:cs="Arial"/>
          <w:sz w:val="28"/>
          <w:szCs w:val="28"/>
          <w:lang w:val="en-GB"/>
        </w:rPr>
        <w:t>Corresponding to:</w:t>
      </w:r>
      <w:r w:rsidR="00956335" w:rsidRPr="00707BBA">
        <w:rPr>
          <w:rFonts w:ascii="Arial" w:hAnsi="Arial" w:cs="Arial"/>
          <w:sz w:val="28"/>
          <w:szCs w:val="28"/>
          <w:lang w:val="en-GB"/>
        </w:rPr>
        <w:t xml:space="preserve"> </w:t>
      </w:r>
      <w:r w:rsidRPr="00707BBA">
        <w:rPr>
          <w:rFonts w:ascii="Arial" w:hAnsi="Arial" w:cs="Arial"/>
          <w:sz w:val="28"/>
          <w:szCs w:val="28"/>
          <w:lang w:val="en-GB"/>
        </w:rPr>
        <w:t>11 November 2010</w:t>
      </w:r>
    </w:p>
    <w:p w14:paraId="0411B92D" w14:textId="77777777" w:rsidR="00956335" w:rsidRPr="00707BBA" w:rsidRDefault="00956335" w:rsidP="00707BBA">
      <w:pPr>
        <w:spacing w:line="360" w:lineRule="auto"/>
        <w:jc w:val="right"/>
        <w:rPr>
          <w:rFonts w:ascii="Arial" w:hAnsi="Arial" w:cs="Arial"/>
          <w:sz w:val="28"/>
          <w:szCs w:val="28"/>
          <w:lang w:val="en-GB"/>
        </w:rPr>
      </w:pPr>
    </w:p>
    <w:p w14:paraId="1FCFDD5D" w14:textId="77777777" w:rsidR="00956335" w:rsidRPr="00707BBA" w:rsidRDefault="00956335" w:rsidP="00707BBA">
      <w:pPr>
        <w:spacing w:line="360" w:lineRule="auto"/>
        <w:jc w:val="right"/>
        <w:rPr>
          <w:rFonts w:ascii="Arial" w:hAnsi="Arial" w:cs="Arial"/>
          <w:sz w:val="28"/>
          <w:szCs w:val="28"/>
          <w:lang w:val="en-GB"/>
        </w:rPr>
      </w:pPr>
    </w:p>
    <w:p w14:paraId="3FC0250F" w14:textId="77777777" w:rsidR="00956335" w:rsidRPr="00707BBA" w:rsidRDefault="00956335" w:rsidP="00707BBA">
      <w:pPr>
        <w:spacing w:line="360" w:lineRule="auto"/>
        <w:jc w:val="right"/>
        <w:rPr>
          <w:rFonts w:ascii="Arial" w:hAnsi="Arial" w:cs="Arial"/>
          <w:sz w:val="28"/>
          <w:szCs w:val="28"/>
          <w:lang w:val="en-GB"/>
        </w:rPr>
      </w:pPr>
    </w:p>
    <w:p w14:paraId="2F89A0CD" w14:textId="77777777" w:rsidR="00956335" w:rsidRPr="00707BBA" w:rsidRDefault="00956335" w:rsidP="00707BBA">
      <w:pPr>
        <w:spacing w:line="360" w:lineRule="auto"/>
        <w:jc w:val="right"/>
        <w:rPr>
          <w:rFonts w:ascii="Arial" w:hAnsi="Arial" w:cs="Arial"/>
          <w:sz w:val="28"/>
          <w:szCs w:val="28"/>
          <w:lang w:val="en-GB"/>
        </w:rPr>
      </w:pPr>
    </w:p>
    <w:p w14:paraId="44531A1E" w14:textId="77777777" w:rsidR="003373DA" w:rsidRPr="00707BBA" w:rsidRDefault="00E70E64" w:rsidP="00707BBA">
      <w:pPr>
        <w:spacing w:line="360" w:lineRule="auto"/>
        <w:jc w:val="center"/>
        <w:rPr>
          <w:rFonts w:ascii="Arial" w:hAnsi="Arial" w:cs="Arial"/>
          <w:b/>
          <w:bCs/>
          <w:sz w:val="28"/>
          <w:szCs w:val="28"/>
          <w:lang w:val="en-GB"/>
        </w:rPr>
      </w:pPr>
      <w:r w:rsidRPr="00707BBA">
        <w:rPr>
          <w:rFonts w:ascii="Arial" w:hAnsi="Arial" w:cs="Arial"/>
          <w:b/>
          <w:bCs/>
          <w:sz w:val="28"/>
          <w:szCs w:val="28"/>
          <w:lang w:val="en-GB"/>
        </w:rPr>
        <w:t xml:space="preserve">Table of Military Judiciary Positions Equivalent </w:t>
      </w:r>
    </w:p>
    <w:p w14:paraId="1CA3AFAD" w14:textId="4838C10E" w:rsidR="00E70E64" w:rsidRPr="00707BBA" w:rsidRDefault="00E70E64" w:rsidP="00707BBA">
      <w:pPr>
        <w:spacing w:line="360" w:lineRule="auto"/>
        <w:jc w:val="center"/>
        <w:rPr>
          <w:rFonts w:ascii="Arial" w:hAnsi="Arial" w:cs="Arial"/>
          <w:b/>
          <w:bCs/>
          <w:sz w:val="28"/>
          <w:szCs w:val="28"/>
          <w:lang w:val="en-GB"/>
        </w:rPr>
      </w:pPr>
      <w:r w:rsidRPr="00707BBA">
        <w:rPr>
          <w:rFonts w:ascii="Arial" w:hAnsi="Arial" w:cs="Arial"/>
          <w:b/>
          <w:bCs/>
          <w:sz w:val="28"/>
          <w:szCs w:val="28"/>
          <w:lang w:val="en-GB"/>
        </w:rPr>
        <w:t>to Judicial Authority Positions</w:t>
      </w:r>
    </w:p>
    <w:tbl>
      <w:tblPr>
        <w:tblStyle w:val="TableGrid"/>
        <w:tblW w:w="0" w:type="auto"/>
        <w:tblLook w:val="04A0" w:firstRow="1" w:lastRow="0" w:firstColumn="1" w:lastColumn="0" w:noHBand="0" w:noVBand="1"/>
      </w:tblPr>
      <w:tblGrid>
        <w:gridCol w:w="4675"/>
        <w:gridCol w:w="4675"/>
      </w:tblGrid>
      <w:tr w:rsidR="003B0157" w:rsidRPr="00707BBA" w14:paraId="14314B76" w14:textId="77777777" w:rsidTr="003B0157">
        <w:tc>
          <w:tcPr>
            <w:tcW w:w="4675" w:type="dxa"/>
          </w:tcPr>
          <w:p w14:paraId="1E0C0788" w14:textId="6D78668D" w:rsidR="003B0157" w:rsidRPr="00707BBA" w:rsidRDefault="003B0157"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Position Title in the Military Judiciary</w:t>
            </w:r>
          </w:p>
        </w:tc>
        <w:tc>
          <w:tcPr>
            <w:tcW w:w="4675" w:type="dxa"/>
          </w:tcPr>
          <w:p w14:paraId="4E89B6A9" w14:textId="046E7589" w:rsidR="003B0157" w:rsidRPr="00707BBA" w:rsidRDefault="003B0157"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Position Title in the Civil Judiciary</w:t>
            </w:r>
          </w:p>
        </w:tc>
      </w:tr>
      <w:tr w:rsidR="003B0157" w:rsidRPr="00707BBA" w14:paraId="773502F6" w14:textId="77777777" w:rsidTr="003B0157">
        <w:tc>
          <w:tcPr>
            <w:tcW w:w="4675" w:type="dxa"/>
          </w:tcPr>
          <w:p w14:paraId="1F674E5A" w14:textId="05A95358" w:rsidR="003B0157" w:rsidRPr="00707BBA" w:rsidRDefault="00071911" w:rsidP="00707BBA">
            <w:pPr>
              <w:spacing w:line="360" w:lineRule="auto"/>
              <w:jc w:val="both"/>
              <w:rPr>
                <w:rFonts w:ascii="Arial" w:hAnsi="Arial" w:cs="Arial"/>
                <w:sz w:val="28"/>
                <w:szCs w:val="28"/>
                <w:lang w:val="en-GB"/>
              </w:rPr>
            </w:pPr>
            <w:r w:rsidRPr="00707BBA">
              <w:rPr>
                <w:rFonts w:ascii="Arial" w:hAnsi="Arial" w:cs="Arial"/>
                <w:sz w:val="28"/>
                <w:szCs w:val="28"/>
                <w:lang w:val="en-GB"/>
              </w:rPr>
              <w:t>President of the Military Court of Cassation</w:t>
            </w:r>
          </w:p>
        </w:tc>
        <w:tc>
          <w:tcPr>
            <w:tcW w:w="4675" w:type="dxa"/>
          </w:tcPr>
          <w:p w14:paraId="59359229" w14:textId="1D47B625" w:rsidR="003B0157" w:rsidRPr="00707BBA" w:rsidRDefault="00071911"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President of the Court of Cassation</w:t>
            </w:r>
          </w:p>
        </w:tc>
      </w:tr>
      <w:tr w:rsidR="003B0157" w:rsidRPr="00707BBA" w14:paraId="300EF2B6" w14:textId="77777777" w:rsidTr="003B0157">
        <w:tc>
          <w:tcPr>
            <w:tcW w:w="4675" w:type="dxa"/>
          </w:tcPr>
          <w:p w14:paraId="71FDE0D5" w14:textId="7F2D26CF" w:rsidR="003B0157" w:rsidRPr="00707BBA" w:rsidRDefault="00071911" w:rsidP="00707BBA">
            <w:pPr>
              <w:spacing w:line="360" w:lineRule="auto"/>
              <w:jc w:val="both"/>
              <w:rPr>
                <w:rFonts w:ascii="Arial" w:hAnsi="Arial" w:cs="Arial"/>
                <w:sz w:val="28"/>
                <w:szCs w:val="28"/>
                <w:lang w:val="en-GB"/>
              </w:rPr>
            </w:pPr>
            <w:r w:rsidRPr="00707BBA">
              <w:rPr>
                <w:rFonts w:ascii="Arial" w:hAnsi="Arial" w:cs="Arial"/>
                <w:sz w:val="28"/>
                <w:szCs w:val="28"/>
                <w:lang w:val="en-GB"/>
              </w:rPr>
              <w:t>Judge of the Military Court of Cassation</w:t>
            </w:r>
          </w:p>
        </w:tc>
        <w:tc>
          <w:tcPr>
            <w:tcW w:w="4675" w:type="dxa"/>
          </w:tcPr>
          <w:p w14:paraId="33A730FC" w14:textId="20D94B4C" w:rsidR="003B0157" w:rsidRPr="00707BBA" w:rsidRDefault="00071911"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Judge of the Court of Cassation</w:t>
            </w:r>
          </w:p>
        </w:tc>
      </w:tr>
      <w:tr w:rsidR="003B0157" w:rsidRPr="00707BBA" w14:paraId="5E69CE87" w14:textId="77777777" w:rsidTr="003B0157">
        <w:tc>
          <w:tcPr>
            <w:tcW w:w="4675" w:type="dxa"/>
          </w:tcPr>
          <w:p w14:paraId="18EAC2F1" w14:textId="30D64611" w:rsidR="003B0157" w:rsidRPr="00707BBA" w:rsidRDefault="00071911"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President of the Supreme Military Court of Appeal</w:t>
            </w:r>
          </w:p>
        </w:tc>
        <w:tc>
          <w:tcPr>
            <w:tcW w:w="4675" w:type="dxa"/>
          </w:tcPr>
          <w:p w14:paraId="01456614" w14:textId="6EA0A2F7" w:rsidR="003B0157" w:rsidRPr="00707BBA" w:rsidRDefault="00071911"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President of the Supreme Civil Court of Appeal</w:t>
            </w:r>
          </w:p>
        </w:tc>
      </w:tr>
      <w:tr w:rsidR="003B0157" w:rsidRPr="00707BBA" w14:paraId="110E2BDF" w14:textId="77777777" w:rsidTr="003B0157">
        <w:tc>
          <w:tcPr>
            <w:tcW w:w="4675" w:type="dxa"/>
          </w:tcPr>
          <w:p w14:paraId="71D317C1" w14:textId="61A4B034" w:rsidR="003B0157" w:rsidRPr="00707BBA" w:rsidRDefault="00071911"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Member of the Supreme Military Court of Appeal</w:t>
            </w:r>
          </w:p>
        </w:tc>
        <w:tc>
          <w:tcPr>
            <w:tcW w:w="4675" w:type="dxa"/>
          </w:tcPr>
          <w:p w14:paraId="4A43407F" w14:textId="1755D180" w:rsidR="003B0157" w:rsidRPr="00707BBA" w:rsidRDefault="00071911"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Member of the Supreme Civil Court of Appeal</w:t>
            </w:r>
          </w:p>
        </w:tc>
      </w:tr>
      <w:tr w:rsidR="003B0157" w:rsidRPr="00707BBA" w14:paraId="61E5BD63" w14:textId="77777777" w:rsidTr="003B0157">
        <w:tc>
          <w:tcPr>
            <w:tcW w:w="4675" w:type="dxa"/>
          </w:tcPr>
          <w:p w14:paraId="3A6C6FD6" w14:textId="4452D8F0" w:rsidR="003B0157" w:rsidRPr="00707BBA" w:rsidRDefault="00844466"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President of the High Military Court</w:t>
            </w:r>
          </w:p>
        </w:tc>
        <w:tc>
          <w:tcPr>
            <w:tcW w:w="4675" w:type="dxa"/>
          </w:tcPr>
          <w:p w14:paraId="6D0B3463" w14:textId="4B080A21" w:rsidR="003B0157" w:rsidRPr="00707BBA" w:rsidRDefault="00844466"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President of the High Civil Court</w:t>
            </w:r>
          </w:p>
        </w:tc>
      </w:tr>
      <w:tr w:rsidR="003B0157" w:rsidRPr="00707BBA" w14:paraId="6F0B8119" w14:textId="77777777" w:rsidTr="003B0157">
        <w:tc>
          <w:tcPr>
            <w:tcW w:w="4675" w:type="dxa"/>
          </w:tcPr>
          <w:p w14:paraId="22669040" w14:textId="11C56AA5" w:rsidR="003B0157" w:rsidRPr="00707BBA" w:rsidRDefault="00844466"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Member of the High Military Court</w:t>
            </w:r>
          </w:p>
        </w:tc>
        <w:tc>
          <w:tcPr>
            <w:tcW w:w="4675" w:type="dxa"/>
          </w:tcPr>
          <w:p w14:paraId="53B8AE82" w14:textId="672C501B" w:rsidR="003B0157" w:rsidRPr="00707BBA" w:rsidRDefault="00844466"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Member of the High Civil Court</w:t>
            </w:r>
          </w:p>
        </w:tc>
      </w:tr>
      <w:tr w:rsidR="003B0157" w:rsidRPr="00707BBA" w14:paraId="72CBCFE5" w14:textId="77777777" w:rsidTr="003B0157">
        <w:tc>
          <w:tcPr>
            <w:tcW w:w="4675" w:type="dxa"/>
          </w:tcPr>
          <w:p w14:paraId="64C4139E" w14:textId="3336CAF3" w:rsidR="003B0157" w:rsidRPr="00707BBA" w:rsidRDefault="00844466"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Judge of the Lower Military Court</w:t>
            </w:r>
          </w:p>
        </w:tc>
        <w:tc>
          <w:tcPr>
            <w:tcW w:w="4675" w:type="dxa"/>
          </w:tcPr>
          <w:p w14:paraId="51317E6C" w14:textId="5D419123" w:rsidR="003B0157" w:rsidRPr="00707BBA" w:rsidRDefault="00844466"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Judge of the Lower Civil Court</w:t>
            </w:r>
          </w:p>
        </w:tc>
      </w:tr>
      <w:tr w:rsidR="003B0157" w:rsidRPr="00707BBA" w14:paraId="02E27114" w14:textId="77777777" w:rsidTr="003B0157">
        <w:tc>
          <w:tcPr>
            <w:tcW w:w="4675" w:type="dxa"/>
          </w:tcPr>
          <w:p w14:paraId="0FF37C28" w14:textId="2DA57988" w:rsidR="003B0157" w:rsidRPr="00707BBA" w:rsidRDefault="007753A5" w:rsidP="00707BBA">
            <w:pPr>
              <w:spacing w:line="360" w:lineRule="auto"/>
              <w:jc w:val="both"/>
              <w:rPr>
                <w:rFonts w:ascii="Arial" w:hAnsi="Arial" w:cs="Arial"/>
                <w:sz w:val="28"/>
                <w:szCs w:val="28"/>
                <w:lang w:val="en-GB"/>
              </w:rPr>
            </w:pPr>
            <w:r w:rsidRPr="00707BBA">
              <w:rPr>
                <w:rFonts w:ascii="Arial" w:hAnsi="Arial" w:cs="Arial"/>
                <w:sz w:val="28"/>
                <w:szCs w:val="28"/>
                <w:lang w:val="en-GB"/>
              </w:rPr>
              <w:t>President of the Military Prosecution</w:t>
            </w:r>
          </w:p>
        </w:tc>
        <w:tc>
          <w:tcPr>
            <w:tcW w:w="4675" w:type="dxa"/>
          </w:tcPr>
          <w:p w14:paraId="0AEEB6AB" w14:textId="23BC6304" w:rsidR="003B0157" w:rsidRPr="00707BBA" w:rsidRDefault="007753A5" w:rsidP="00707BBA">
            <w:pPr>
              <w:spacing w:after="200" w:line="360" w:lineRule="auto"/>
              <w:jc w:val="both"/>
              <w:rPr>
                <w:rFonts w:ascii="Arial" w:hAnsi="Arial" w:cs="Arial"/>
                <w:sz w:val="28"/>
                <w:szCs w:val="28"/>
                <w:lang w:val="en-GB"/>
              </w:rPr>
            </w:pPr>
            <w:r w:rsidRPr="00707BBA">
              <w:rPr>
                <w:rFonts w:ascii="Arial" w:hAnsi="Arial" w:cs="Arial"/>
                <w:sz w:val="28"/>
                <w:szCs w:val="28"/>
                <w:lang w:val="en-GB"/>
              </w:rPr>
              <w:t>Chief Prosecutor</w:t>
            </w:r>
          </w:p>
        </w:tc>
      </w:tr>
      <w:tr w:rsidR="003B0157" w:rsidRPr="00707BBA" w14:paraId="035DE12D" w14:textId="77777777" w:rsidTr="003B0157">
        <w:tc>
          <w:tcPr>
            <w:tcW w:w="4675" w:type="dxa"/>
          </w:tcPr>
          <w:p w14:paraId="4418AD29" w14:textId="6D1A441C" w:rsidR="003B0157" w:rsidRPr="00707BBA" w:rsidRDefault="009216C0" w:rsidP="00707BBA">
            <w:pPr>
              <w:spacing w:line="360" w:lineRule="auto"/>
              <w:jc w:val="both"/>
              <w:rPr>
                <w:rFonts w:ascii="Arial" w:hAnsi="Arial" w:cs="Arial"/>
                <w:sz w:val="28"/>
                <w:szCs w:val="28"/>
                <w:lang w:val="en-GB"/>
              </w:rPr>
            </w:pPr>
            <w:r w:rsidRPr="00707BBA">
              <w:rPr>
                <w:rFonts w:ascii="Arial" w:hAnsi="Arial" w:cs="Arial"/>
                <w:sz w:val="28"/>
                <w:szCs w:val="28"/>
                <w:lang w:val="en-GB"/>
              </w:rPr>
              <w:t>Head of the Military Prosecution Branch</w:t>
            </w:r>
          </w:p>
        </w:tc>
        <w:tc>
          <w:tcPr>
            <w:tcW w:w="4675" w:type="dxa"/>
          </w:tcPr>
          <w:p w14:paraId="01B7CDC6" w14:textId="62024778" w:rsidR="003B0157" w:rsidRPr="00707BBA" w:rsidRDefault="008A7C6D" w:rsidP="00707BBA">
            <w:pPr>
              <w:spacing w:line="360" w:lineRule="auto"/>
              <w:jc w:val="both"/>
              <w:rPr>
                <w:rFonts w:ascii="Arial" w:hAnsi="Arial" w:cs="Arial"/>
                <w:sz w:val="28"/>
                <w:szCs w:val="28"/>
                <w:lang w:val="en-GB"/>
              </w:rPr>
            </w:pPr>
            <w:r w:rsidRPr="00707BBA">
              <w:rPr>
                <w:rFonts w:ascii="Arial" w:hAnsi="Arial" w:cs="Arial"/>
                <w:sz w:val="28"/>
                <w:szCs w:val="28"/>
                <w:lang w:val="en-GB"/>
              </w:rPr>
              <w:t>Head of Prosecution (a)</w:t>
            </w:r>
          </w:p>
        </w:tc>
      </w:tr>
      <w:tr w:rsidR="003B0157" w:rsidRPr="00707BBA" w14:paraId="7B1E79A3" w14:textId="77777777" w:rsidTr="003B0157">
        <w:tc>
          <w:tcPr>
            <w:tcW w:w="4675" w:type="dxa"/>
          </w:tcPr>
          <w:p w14:paraId="43943053" w14:textId="30FDB46B" w:rsidR="003B0157" w:rsidRPr="00707BBA" w:rsidRDefault="008A7C6D" w:rsidP="00707BBA">
            <w:pPr>
              <w:spacing w:line="360" w:lineRule="auto"/>
              <w:jc w:val="both"/>
              <w:rPr>
                <w:rFonts w:ascii="Arial" w:hAnsi="Arial" w:cs="Arial"/>
                <w:sz w:val="28"/>
                <w:szCs w:val="28"/>
                <w:lang w:val="en-GB"/>
              </w:rPr>
            </w:pPr>
            <w:r w:rsidRPr="00707BBA">
              <w:rPr>
                <w:rFonts w:ascii="Arial" w:hAnsi="Arial" w:cs="Arial"/>
                <w:sz w:val="28"/>
                <w:szCs w:val="28"/>
                <w:lang w:val="en-GB"/>
              </w:rPr>
              <w:t>Head of the Military Prosecution Department</w:t>
            </w:r>
          </w:p>
        </w:tc>
        <w:tc>
          <w:tcPr>
            <w:tcW w:w="4675" w:type="dxa"/>
          </w:tcPr>
          <w:p w14:paraId="270EBABC" w14:textId="2813F71A" w:rsidR="003B0157" w:rsidRPr="00707BBA" w:rsidRDefault="003373DA" w:rsidP="00707BBA">
            <w:pPr>
              <w:spacing w:line="360" w:lineRule="auto"/>
              <w:jc w:val="both"/>
              <w:rPr>
                <w:rFonts w:ascii="Arial" w:hAnsi="Arial" w:cs="Arial"/>
                <w:sz w:val="28"/>
                <w:szCs w:val="28"/>
                <w:lang w:val="en-GB"/>
              </w:rPr>
            </w:pPr>
            <w:r w:rsidRPr="00707BBA">
              <w:rPr>
                <w:rFonts w:ascii="Arial" w:hAnsi="Arial" w:cs="Arial"/>
                <w:sz w:val="28"/>
                <w:szCs w:val="28"/>
                <w:lang w:val="en-GB"/>
              </w:rPr>
              <w:t>Chief Prosecutor (B)</w:t>
            </w:r>
          </w:p>
        </w:tc>
      </w:tr>
      <w:tr w:rsidR="003B0157" w:rsidRPr="00707BBA" w14:paraId="6F29E9A0" w14:textId="77777777" w:rsidTr="003B0157">
        <w:tc>
          <w:tcPr>
            <w:tcW w:w="4675" w:type="dxa"/>
          </w:tcPr>
          <w:p w14:paraId="5B2D5D05" w14:textId="3F768E14" w:rsidR="003B0157" w:rsidRPr="00707BBA" w:rsidRDefault="003373DA" w:rsidP="00707BBA">
            <w:pPr>
              <w:spacing w:line="360" w:lineRule="auto"/>
              <w:jc w:val="both"/>
              <w:rPr>
                <w:rFonts w:ascii="Arial" w:hAnsi="Arial" w:cs="Arial"/>
                <w:sz w:val="28"/>
                <w:szCs w:val="28"/>
                <w:lang w:val="en-GB"/>
              </w:rPr>
            </w:pPr>
            <w:r w:rsidRPr="00707BBA">
              <w:rPr>
                <w:rFonts w:ascii="Arial" w:hAnsi="Arial" w:cs="Arial"/>
                <w:sz w:val="28"/>
                <w:szCs w:val="28"/>
                <w:lang w:val="en-GB"/>
              </w:rPr>
              <w:t>Military Prosecutor</w:t>
            </w:r>
          </w:p>
        </w:tc>
        <w:tc>
          <w:tcPr>
            <w:tcW w:w="4675" w:type="dxa"/>
          </w:tcPr>
          <w:p w14:paraId="76567DED" w14:textId="1D8C228E" w:rsidR="003B0157" w:rsidRPr="00707BBA" w:rsidRDefault="003373DA" w:rsidP="00707BBA">
            <w:pPr>
              <w:spacing w:line="360" w:lineRule="auto"/>
              <w:jc w:val="both"/>
              <w:rPr>
                <w:rFonts w:ascii="Arial" w:hAnsi="Arial" w:cs="Arial"/>
                <w:sz w:val="28"/>
                <w:szCs w:val="28"/>
                <w:lang w:val="en-GB"/>
              </w:rPr>
            </w:pPr>
            <w:r w:rsidRPr="00707BBA">
              <w:rPr>
                <w:rFonts w:ascii="Arial" w:hAnsi="Arial" w:cs="Arial"/>
                <w:sz w:val="28"/>
                <w:szCs w:val="28"/>
                <w:lang w:val="en-GB"/>
              </w:rPr>
              <w:t>Prosecutor</w:t>
            </w:r>
          </w:p>
        </w:tc>
      </w:tr>
      <w:tr w:rsidR="003B0157" w:rsidRPr="00707BBA" w14:paraId="30CE5FD2" w14:textId="77777777" w:rsidTr="003B0157">
        <w:tc>
          <w:tcPr>
            <w:tcW w:w="4675" w:type="dxa"/>
          </w:tcPr>
          <w:p w14:paraId="35F49B22" w14:textId="04672C6A" w:rsidR="003B0157" w:rsidRPr="00707BBA" w:rsidRDefault="003373DA" w:rsidP="00707BBA">
            <w:pPr>
              <w:spacing w:line="360" w:lineRule="auto"/>
              <w:jc w:val="both"/>
              <w:rPr>
                <w:rFonts w:ascii="Arial" w:hAnsi="Arial" w:cs="Arial"/>
                <w:sz w:val="28"/>
                <w:szCs w:val="28"/>
                <w:lang w:val="en-GB"/>
              </w:rPr>
            </w:pPr>
            <w:r w:rsidRPr="00707BBA">
              <w:rPr>
                <w:rFonts w:ascii="Arial" w:hAnsi="Arial" w:cs="Arial"/>
                <w:sz w:val="28"/>
                <w:szCs w:val="28"/>
                <w:lang w:val="en-GB"/>
              </w:rPr>
              <w:lastRenderedPageBreak/>
              <w:t>Assistant Military Prosecutor</w:t>
            </w:r>
          </w:p>
        </w:tc>
        <w:tc>
          <w:tcPr>
            <w:tcW w:w="4675" w:type="dxa"/>
          </w:tcPr>
          <w:p w14:paraId="03F03282" w14:textId="55195758" w:rsidR="003B0157" w:rsidRPr="00707BBA" w:rsidRDefault="003373DA" w:rsidP="00707BBA">
            <w:pPr>
              <w:spacing w:line="360" w:lineRule="auto"/>
              <w:jc w:val="both"/>
              <w:rPr>
                <w:rFonts w:ascii="Arial" w:hAnsi="Arial" w:cs="Arial"/>
                <w:sz w:val="28"/>
                <w:szCs w:val="28"/>
                <w:lang w:val="en-GB"/>
              </w:rPr>
            </w:pPr>
            <w:r w:rsidRPr="00707BBA">
              <w:rPr>
                <w:rFonts w:ascii="Arial" w:hAnsi="Arial" w:cs="Arial"/>
                <w:sz w:val="28"/>
                <w:szCs w:val="28"/>
                <w:lang w:val="en-GB"/>
              </w:rPr>
              <w:t>Assistant Prosecutor</w:t>
            </w:r>
          </w:p>
        </w:tc>
      </w:tr>
    </w:tbl>
    <w:p w14:paraId="4E974229" w14:textId="77777777" w:rsidR="00E70E64" w:rsidRPr="00707BBA" w:rsidRDefault="00E70E64" w:rsidP="00707BBA">
      <w:pPr>
        <w:spacing w:line="360" w:lineRule="auto"/>
        <w:jc w:val="both"/>
        <w:rPr>
          <w:rFonts w:ascii="Arial" w:hAnsi="Arial" w:cs="Arial"/>
          <w:sz w:val="28"/>
          <w:szCs w:val="28"/>
          <w:lang w:val="en-GB"/>
        </w:rPr>
      </w:pPr>
    </w:p>
    <w:p w14:paraId="05CBE1C6" w14:textId="77777777" w:rsidR="00A37D03" w:rsidRPr="00707BBA" w:rsidRDefault="00A37D03" w:rsidP="00707BBA">
      <w:pPr>
        <w:spacing w:line="360" w:lineRule="auto"/>
        <w:rPr>
          <w:rFonts w:ascii="Arial" w:hAnsi="Arial" w:cs="Arial"/>
          <w:sz w:val="28"/>
          <w:szCs w:val="28"/>
        </w:rPr>
      </w:pPr>
    </w:p>
    <w:sectPr w:rsidR="00A37D03" w:rsidRPr="00707BBA" w:rsidSect="00707B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81FB" w14:textId="77777777" w:rsidR="00753EED" w:rsidRDefault="00753EED" w:rsidP="00D206DD">
      <w:pPr>
        <w:spacing w:after="0" w:line="240" w:lineRule="auto"/>
      </w:pPr>
      <w:r>
        <w:separator/>
      </w:r>
    </w:p>
  </w:endnote>
  <w:endnote w:type="continuationSeparator" w:id="0">
    <w:p w14:paraId="3366E2B5" w14:textId="77777777" w:rsidR="00753EED" w:rsidRDefault="00753EED" w:rsidP="00D2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5E12" w14:textId="77777777" w:rsidR="00D206DD" w:rsidRDefault="00D20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7AF8" w14:textId="77777777" w:rsidR="00D206DD" w:rsidRDefault="00D20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15EA" w14:textId="77777777" w:rsidR="00D206DD" w:rsidRDefault="00D2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A73B7" w14:textId="77777777" w:rsidR="00753EED" w:rsidRDefault="00753EED" w:rsidP="00D206DD">
      <w:pPr>
        <w:spacing w:after="0" w:line="240" w:lineRule="auto"/>
      </w:pPr>
      <w:r>
        <w:separator/>
      </w:r>
    </w:p>
  </w:footnote>
  <w:footnote w:type="continuationSeparator" w:id="0">
    <w:p w14:paraId="18741AE0" w14:textId="77777777" w:rsidR="00753EED" w:rsidRDefault="00753EED" w:rsidP="00D2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FDBC" w14:textId="77777777" w:rsidR="00D206DD" w:rsidRDefault="00D20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A429" w14:textId="5D2848E6" w:rsidR="00D206DD" w:rsidRDefault="00D20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8ABD" w14:textId="77777777" w:rsidR="00D206DD" w:rsidRDefault="00D20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94"/>
    <w:rsid w:val="00030143"/>
    <w:rsid w:val="00071294"/>
    <w:rsid w:val="00071911"/>
    <w:rsid w:val="001B13AB"/>
    <w:rsid w:val="002B09BA"/>
    <w:rsid w:val="002E5FFB"/>
    <w:rsid w:val="00326127"/>
    <w:rsid w:val="003373DA"/>
    <w:rsid w:val="003466BA"/>
    <w:rsid w:val="003B0157"/>
    <w:rsid w:val="0043297E"/>
    <w:rsid w:val="004452FC"/>
    <w:rsid w:val="004B5D15"/>
    <w:rsid w:val="006121D7"/>
    <w:rsid w:val="006F1DB3"/>
    <w:rsid w:val="00707BBA"/>
    <w:rsid w:val="00736BE2"/>
    <w:rsid w:val="00753EED"/>
    <w:rsid w:val="007753A5"/>
    <w:rsid w:val="00844466"/>
    <w:rsid w:val="0086718F"/>
    <w:rsid w:val="008A7C6D"/>
    <w:rsid w:val="009216C0"/>
    <w:rsid w:val="00956335"/>
    <w:rsid w:val="009F4FE3"/>
    <w:rsid w:val="00A37D03"/>
    <w:rsid w:val="00AA75AD"/>
    <w:rsid w:val="00B34472"/>
    <w:rsid w:val="00B72831"/>
    <w:rsid w:val="00CB5DD1"/>
    <w:rsid w:val="00CD5322"/>
    <w:rsid w:val="00D206DD"/>
    <w:rsid w:val="00D42F56"/>
    <w:rsid w:val="00D75434"/>
    <w:rsid w:val="00E70E64"/>
    <w:rsid w:val="00F1070F"/>
    <w:rsid w:val="00F76E90"/>
    <w:rsid w:val="28CEA3CA"/>
    <w:rsid w:val="4BA502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C1BE"/>
  <w15:docId w15:val="{239DBB9B-227A-47B7-A095-D2820CAE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D206DD"/>
    <w:pPr>
      <w:spacing w:after="0" w:line="240" w:lineRule="auto"/>
    </w:pPr>
  </w:style>
  <w:style w:type="paragraph" w:styleId="Header">
    <w:name w:val="header"/>
    <w:basedOn w:val="Normal"/>
    <w:link w:val="HeaderChar"/>
    <w:uiPriority w:val="99"/>
    <w:unhideWhenUsed/>
    <w:rsid w:val="00D20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6DD"/>
  </w:style>
  <w:style w:type="paragraph" w:styleId="Footer">
    <w:name w:val="footer"/>
    <w:basedOn w:val="Normal"/>
    <w:link w:val="FooterChar"/>
    <w:uiPriority w:val="99"/>
    <w:unhideWhenUsed/>
    <w:rsid w:val="00D20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6DD"/>
  </w:style>
  <w:style w:type="character" w:styleId="CommentReference">
    <w:name w:val="annotation reference"/>
    <w:basedOn w:val="DefaultParagraphFont"/>
    <w:uiPriority w:val="99"/>
    <w:semiHidden/>
    <w:unhideWhenUsed/>
    <w:rsid w:val="006F1DB3"/>
    <w:rPr>
      <w:sz w:val="16"/>
      <w:szCs w:val="16"/>
    </w:rPr>
  </w:style>
  <w:style w:type="paragraph" w:styleId="CommentText">
    <w:name w:val="annotation text"/>
    <w:basedOn w:val="Normal"/>
    <w:link w:val="CommentTextChar"/>
    <w:uiPriority w:val="99"/>
    <w:semiHidden/>
    <w:unhideWhenUsed/>
    <w:rsid w:val="006F1DB3"/>
    <w:pPr>
      <w:spacing w:line="240" w:lineRule="auto"/>
    </w:pPr>
    <w:rPr>
      <w:sz w:val="20"/>
      <w:szCs w:val="20"/>
    </w:rPr>
  </w:style>
  <w:style w:type="character" w:customStyle="1" w:styleId="CommentTextChar">
    <w:name w:val="Comment Text Char"/>
    <w:basedOn w:val="DefaultParagraphFont"/>
    <w:link w:val="CommentText"/>
    <w:uiPriority w:val="99"/>
    <w:semiHidden/>
    <w:rsid w:val="006F1DB3"/>
    <w:rPr>
      <w:sz w:val="20"/>
      <w:szCs w:val="20"/>
    </w:rPr>
  </w:style>
  <w:style w:type="paragraph" w:styleId="CommentSubject">
    <w:name w:val="annotation subject"/>
    <w:basedOn w:val="CommentText"/>
    <w:next w:val="CommentText"/>
    <w:link w:val="CommentSubjectChar"/>
    <w:uiPriority w:val="99"/>
    <w:semiHidden/>
    <w:unhideWhenUsed/>
    <w:rsid w:val="006F1DB3"/>
    <w:rPr>
      <w:b/>
      <w:bCs/>
    </w:rPr>
  </w:style>
  <w:style w:type="character" w:customStyle="1" w:styleId="CommentSubjectChar">
    <w:name w:val="Comment Subject Char"/>
    <w:basedOn w:val="CommentTextChar"/>
    <w:link w:val="CommentSubject"/>
    <w:uiPriority w:val="99"/>
    <w:semiHidden/>
    <w:rsid w:val="006F1DB3"/>
    <w:rPr>
      <w:b/>
      <w:bCs/>
      <w:sz w:val="20"/>
      <w:szCs w:val="20"/>
    </w:rPr>
  </w:style>
  <w:style w:type="paragraph" w:styleId="BalloonText">
    <w:name w:val="Balloon Text"/>
    <w:basedOn w:val="Normal"/>
    <w:link w:val="BalloonTextChar"/>
    <w:uiPriority w:val="99"/>
    <w:semiHidden/>
    <w:unhideWhenUsed/>
    <w:rsid w:val="006F1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ist>
  <segment id="a9e21fea-fa0b-471d-8f0f-a178009a9875_1" sourcehash="-54912106" targethash="985828996"/>
  <segment id="66cf0285-2c21-4eae-843a-53a290ef645a_2" sourcehash="891971300" targethash="891971300"/>
  <segment id="4f07ccbe-57ca-47de-8619-ac0c3614fec1_3" sourcehash="891971303" targethash="891971303"/>
  <segment id="518f11f3-1a8b-40e0-9032-8468bbbe9542_4" sourcehash="-855767033" targethash="633356995"/>
  <segment id="45d814ee-4af5-41cf-b689-83af42a8cd0b_5" sourcehash="1125924306" targethash="-65290800"/>
  <segment id="4c17a024-476a-416b-afac-88dcefef0b11_6" sourcehash="453932659" targethash="-251456525"/>
  <segment id="70893172-efed-40b0-b91c-e0653b70374b_7" sourcehash="797736125" targethash="1914161907"/>
  <segment id="e2f5fd48-180d-4625-ab38-ee2c2a7bc32e_8" sourcehash="-544668576" targethash="-851568370"/>
  <segment id="d82c4e3f-08af-474e-b747-b61928bea724_9" sourcehash="-522534165" targethash="1727452098"/>
  <segment id="e90f548e-14fc-4589-b497-516b8b4985e5_10" sourcehash="-1644180401" targethash="-988516594"/>
  <segment id="7a8ecb9d-44d8-44c0-b593-5b91d318742e_11" sourcehash="-12866358" targethash="-610232229"/>
  <segment id="d8dc14b3-4d41-4cbe-bc22-6c9327926fd3_12" sourcehash="457493417" targethash="-1832249479"/>
  <segment id="047c7e6b-1baf-450a-9982-65f02c4ed1a1_13" sourcehash="-707094206" targethash="-612012518"/>
  <segment id="7e5fe026-aaae-4f74-8bcc-430c9a85dbf3_14" sourcehash="131322503" targethash="-1749097823"/>
  <segment id="440c3f36-4976-47f7-bc27-c3f8584b2660_15" sourcehash="-1646770428" targethash="1320827116"/>
  <segment id="bafd43d3-2e34-4b44-8409-52bbc9b343a9_16" sourcehash="-2108166282" targethash="1478992980"/>
  <segment id="3f35f0fd-c18c-479e-80f0-011e5e935240_17" sourcehash="-2045075111" targethash="2104688706"/>
  <segment id="450a97a1-1dd0-4d50-803a-7185ef264b33_18" sourcehash="1441973242" targethash="-2006526944"/>
  <segment id="29259193-37ba-4969-a987-a693807c5026_19" sourcehash="231589227" targethash="-1656712737"/>
  <segment id="1762fa8a-365e-474a-ba96-dc316a90e72e_20" sourcehash="-694860610" targethash="1662172327"/>
  <segment id="85060151-045b-4c32-934d-b5fe56b3374e_21" sourcehash="-639128686" targethash="2047869149"/>
  <segment id="ed52d3e0-7156-43d0-9760-219b46e79cf7_22" sourcehash="907930285" targethash="-1365386056"/>
  <segment id="1de863fe-650f-48a8-883a-a85270bbc225_23" sourcehash="1114272273" targethash="1665387641"/>
  <segment id="a208a7c4-a78d-47c0-a6c1-706160941b37_24" sourcehash="-2142665805" targethash="-955843601"/>
  <segment id="4d6fc795-4c95-4432-a6e9-aadc078707b3_25" sourcehash="-1039729951" targethash="172678105"/>
  <segment id="1a4c0ee2-b0ec-4c16-9c0d-61c4a0b381a2_26" sourcehash="-1515040580" targethash="-1034986173"/>
  <segment id="4a4ac590-76fa-4a22-a388-902eec142381_27" sourcehash="-1908699304" targethash="-1993604754"/>
  <segment id="9a3edbe6-28bb-49a2-8c1d-2e4ce5bd2319_28 a" sourcehash="580572242" targethash="357080261"/>
  <segment id="9a3edbe6-28bb-49a2-8c1d-2e4ce5bd2319_28 b" sourcehash="-1722115614" targethash="699053153"/>
  <segment id="05a948dc-c4c2-42f8-abef-ef9e8f73a6f2_29" sourcehash="1257535849" targethash="611265784"/>
  <segment id="29affb7c-ebe0-40cb-ba41-ae5714df6f99_30" sourcehash="-1173701180" targethash="266769127"/>
  <segment id="b7380bc7-bc00-4611-ba00-69d3c59877ab_31" sourcehash="-876066785" targethash="-1132313378"/>
  <segment id="b6c67bec-3afd-4f53-a02e-eb1fbba0a78b_32" sourcehash="205886838" targethash="-2098978270"/>
  <segment id="2fabdb3a-c0e5-4d08-9a2e-e1462a330c8f_33" sourcehash="-689847145" targethash="-1268390970"/>
  <segment id="7ec49b70-a442-4fdd-a935-47fa868e35a0_34" sourcehash="371712370" targethash="2040154828"/>
  <segment id="0365c260-17d9-4759-9e3d-ce1357dc0f75_35" sourcehash="-877297406" targethash="956879755"/>
  <segment id="db5a69da-fb3d-4dfd-aaed-7f10eaadc800_36" sourcehash="1268065394" targethash="-1222975956"/>
  <segment id="45965364-4a66-4da6-9f3e-413b4a2f307a_37" sourcehash="1110955315" targethash="-729586303"/>
  <segment id="0d2ef655-0f50-43b1-b89a-468aed2b69b2_38" sourcehash="72431084" targethash="966893248"/>
  <segment id="d71ea554-b2bf-4b88-9ee4-823a0539de2b_39" sourcehash="-1808227374" targethash="-1219361629"/>
  <segment id="39258a21-25ca-4048-b8e5-b1d9a0a214de_40" sourcehash="-507233866" targethash="-799282658"/>
  <segment id="2d4a0944-e9c8-4bf9-a049-7f0e952211ff_41" sourcehash="1879468840" targethash="2126058218"/>
  <segment id="486c111b-8fd4-4820-9ae8-93e930a2c5c2_42" sourcehash="820789910" targethash="204001624"/>
  <segment id="5666b1eb-f047-4f10-b56b-3d0d97d8f1e7_43" sourcehash="-1201498323" targethash="962909208"/>
  <segment id="7e1b3d15-8949-476f-b755-b8a61e3f3125_44" sourcehash="-188147870" targethash="-1407751525"/>
  <segment id="ed28dfe1-782f-45d0-8e7c-14ac6f86db8c_45" sourcehash="951270863" targethash="-2107089022"/>
  <segment id="d4c8b726-0e13-41a3-832c-7e94ae2013ee_46" sourcehash="70747441" targethash="-441418341"/>
  <segment id="43556833-754a-4894-b874-b4c489db6266_47" sourcehash="834371951" targethash="97002824"/>
  <segment id="f82b9e69-9313-45fc-b620-a2801fa31c36_48" sourcehash="922070070" targethash="999411744"/>
  <segment id="4dc7e92d-8dc2-4210-9702-cabb90ad97e8_49" sourcehash="850505251" targethash="-560904007"/>
  <segment id="1c860b09-3bab-4385-a80f-c868f6e10757_50" sourcehash="-1979659605" targethash="1371654552"/>
  <segment id="4e65adae-94c0-4a58-806a-7e09f48d8ec8_51" sourcehash="-2092933217" targethash="671846509"/>
  <segment id="4e65adae-94c0-4a58-806a-7e09f48d8ec8_52" sourcehash="-846247588" targethash="-1500397710"/>
  <segment id="75e59000-51ef-4640-99d9-044a94bc8c0b_53" sourcehash="-1711024374" targethash="-830922737"/>
  <segment id="75e59000-51ef-4640-99d9-044a94bc8c0b_54" sourcehash="-830885365" targethash="-443186415"/>
  <segment id="052b41be-4237-4570-83f9-5d7cb9335f44_55" sourcehash="-1299847339" targethash="-1113915203"/>
  <segment id="231089ae-9cf4-462a-979e-89b560b98406_56" sourcehash="894723809" targethash="894723809"/>
  <segment id="18b321a0-b075-41da-bf43-b98a67ad42a1_57" sourcehash="-1080895097" targethash="-1434431395"/>
  <segment id="ed896a21-36f1-4713-93dc-5693d3390b3d_58" sourcehash="-1555021417" targethash="1514483471"/>
  <segment id="ef402d31-01bb-4c88-9127-8abb11424fb4_59" sourcehash="-578400949" targethash="-1608008353"/>
  <segment id="e99f1b7e-b249-44e4-b9ed-0ae142117740_60" sourcehash="-21140570" targethash="-1757216492"/>
  <segment id="320ebf47-354a-4dfd-8873-d85e24e9bd43_61" sourcehash="-837083942" targethash="-1837169187"/>
  <segment id="dbb2bd52-6f9a-498c-9556-cce4072c70a4_62" sourcehash="112367037" targethash="-918465093"/>
  <segment id="0f35bc23-a14a-4672-b535-cb015bf2c9ca_63" sourcehash="-637989004" targethash="-1008034938"/>
  <segment id="6baed7a0-ac8d-403a-b823-c8350630f608_64" sourcehash="-998157959" targethash="-939967013"/>
  <segment id="e78ce92a-affb-46f5-9e1a-63166784a070_65" sourcehash="1817633401" targethash="2050075254"/>
  <segment id="33be62ed-86da-4c10-b8a2-9e0cd2799eec_66" sourcehash="-354452672" targethash="516680304"/>
  <segment id="acc1042d-5907-444a-aa1d-b9a4df1fcf40_67" sourcehash="1030692161" targethash="-659130363"/>
  <segment id="3145c6c3-e1a8-4213-9a4d-fed57d8f882f_68" sourcehash="-63071409" targethash="-1318594000"/>
  <segment id="c515abad-ac5c-4769-a2ba-9ebe973869ee_69" sourcehash="-1617549934" targethash="594092385"/>
  <segment id="55becdcb-bb34-452d-b409-a3b3f5edacdd_70" sourcehash="285915496" targethash="921282751"/>
  <segment id="7fdce353-c5dc-4338-98d9-54e0f73c62fa_71" sourcehash="-1683076076" targethash="-1621359356"/>
  <segment id="13cb9acd-729f-4a11-9811-8fe7c4f84b8d_72" sourcehash="582845221" targethash="776176841"/>
  <segment id="adc20e71-569f-4e6f-b5dc-46d2104c1b02_73" sourcehash="403276874" targethash="913804692"/>
  <segment id="05cfd33a-d7a8-4853-a074-6ff10b71499b_74" sourcehash="888270544" targethash="1903813686"/>
  <segment id="4644a178-2cda-4eac-a652-4f6d7f898335_75" sourcehash="-455845530" targethash="847634400"/>
  <segment id="6b80722f-bb27-4c8e-806f-28aca7ca000c_76" sourcehash="-1450115735" targethash="186374134"/>
  <segment id="28cfb332-e22d-423b-88dd-64bb9a518f1c_77" sourcehash="-1946170297" targethash="-110142414"/>
  <segment id="7a4ddc78-6a8f-4e28-a69e-6949d791299d_78" sourcehash="-1737618795" targethash="1620889366"/>
  <segment id="f6facddf-1f9c-4eff-a479-10425ea3d6dc_79" sourcehash="-2126953238" targethash="963158727"/>
  <segment id="d180d844-d43f-4ee6-a22c-3c6f049a3af5_80" sourcehash="1276250943" targethash="1468235327"/>
  <segment id="0380886f-700f-44e9-9f71-bb8bd26d9349_81" sourcehash="-2120933623" targethash="-908237402"/>
  <segment id="2f2f78ae-8921-4abb-a212-c16024b5d64b_82" sourcehash="-1816712081" targethash="832330337"/>
</lis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1A45-98C0-4D79-952A-E8203CE59AAC}">
  <ds:schemaRefs/>
</ds:datastoreItem>
</file>

<file path=customXml/itemProps2.xml><?xml version="1.0" encoding="utf-8"?>
<ds:datastoreItem xmlns:ds="http://schemas.openxmlformats.org/officeDocument/2006/customXml" ds:itemID="{5EC5C790-7789-40F5-8B5C-A11FAD2C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18</cp:revision>
  <dcterms:created xsi:type="dcterms:W3CDTF">2025-03-16T07:42:00Z</dcterms:created>
  <dcterms:modified xsi:type="dcterms:W3CDTF">2025-05-08T07:33:00Z</dcterms:modified>
</cp:coreProperties>
</file>