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3E51F" w14:textId="77777777" w:rsidR="000030EC" w:rsidRPr="000030EC" w:rsidRDefault="000030EC" w:rsidP="000030EC">
      <w:pPr>
        <w:spacing w:line="360" w:lineRule="auto"/>
        <w:rPr>
          <w:rFonts w:ascii="Arial" w:hAnsi="Arial" w:cs="Arial"/>
          <w:b/>
          <w:bCs/>
          <w:sz w:val="28"/>
          <w:szCs w:val="28"/>
          <w:lang w:val="en-GB"/>
        </w:rPr>
      </w:pPr>
      <w:r w:rsidRPr="000030EC">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5C47A46" w14:textId="77777777" w:rsidR="000030EC" w:rsidRPr="000030EC" w:rsidRDefault="000030EC" w:rsidP="000030EC">
      <w:pPr>
        <w:spacing w:line="360" w:lineRule="auto"/>
        <w:rPr>
          <w:rFonts w:ascii="Arial" w:hAnsi="Arial" w:cs="Arial"/>
          <w:b/>
          <w:bCs/>
          <w:sz w:val="28"/>
          <w:szCs w:val="28"/>
          <w:lang w:val="en-GB"/>
        </w:rPr>
      </w:pPr>
      <w:r w:rsidRPr="000030EC">
        <w:rPr>
          <w:rFonts w:ascii="Arial" w:hAnsi="Arial" w:cs="Arial"/>
          <w:b/>
          <w:bCs/>
          <w:sz w:val="28"/>
          <w:szCs w:val="28"/>
          <w:lang w:val="en-GB"/>
        </w:rPr>
        <w:t>For any corrections, remarks, or suggestions, kindly contact us on translate@lloc.gov.bh</w:t>
      </w:r>
    </w:p>
    <w:p w14:paraId="5A3AA6E3" w14:textId="6D93C5BD" w:rsidR="000030EC" w:rsidRPr="000030EC" w:rsidRDefault="000030EC" w:rsidP="000030EC">
      <w:pPr>
        <w:spacing w:line="360" w:lineRule="auto"/>
        <w:rPr>
          <w:rFonts w:ascii="Arial" w:hAnsi="Arial" w:cs="Arial"/>
          <w:b/>
          <w:bCs/>
          <w:sz w:val="28"/>
          <w:szCs w:val="28"/>
          <w:lang w:val="en-GB"/>
        </w:rPr>
      </w:pPr>
      <w:r w:rsidRPr="000030EC">
        <w:rPr>
          <w:rFonts w:ascii="Arial" w:hAnsi="Arial" w:cs="Arial"/>
          <w:b/>
          <w:bCs/>
          <w:sz w:val="28"/>
          <w:szCs w:val="28"/>
          <w:lang w:val="en-GB"/>
        </w:rPr>
        <w:t>Published on the website on April 2025</w:t>
      </w:r>
      <w:r w:rsidRPr="000030EC">
        <w:rPr>
          <w:rFonts w:ascii="Arial" w:hAnsi="Arial" w:cs="Arial"/>
          <w:b/>
          <w:bCs/>
          <w:sz w:val="28"/>
          <w:szCs w:val="28"/>
          <w:lang w:val="en-GB"/>
        </w:rPr>
        <w:br w:type="page"/>
      </w:r>
    </w:p>
    <w:p w14:paraId="003EF3D4" w14:textId="1968881E" w:rsidR="00214EA9" w:rsidRPr="000030EC" w:rsidRDefault="00214EA9" w:rsidP="001E3A08">
      <w:pPr>
        <w:spacing w:line="360" w:lineRule="auto"/>
        <w:jc w:val="center"/>
        <w:rPr>
          <w:rFonts w:ascii="Arial" w:hAnsi="Arial" w:cs="Arial"/>
          <w:b/>
          <w:bCs/>
          <w:sz w:val="28"/>
          <w:szCs w:val="28"/>
          <w:lang w:val="en-GB"/>
        </w:rPr>
      </w:pPr>
      <w:r w:rsidRPr="000030EC">
        <w:rPr>
          <w:rFonts w:ascii="Arial" w:hAnsi="Arial" w:cs="Arial"/>
          <w:b/>
          <w:bCs/>
          <w:sz w:val="28"/>
          <w:szCs w:val="28"/>
          <w:lang w:val="en-GB"/>
        </w:rPr>
        <w:lastRenderedPageBreak/>
        <w:t>Legislative Decree No. (17) of 2023 Amending Certain Provisions of Law No. (33) of 2006 regarding Sewage Disposal and Surface Water Drainage</w:t>
      </w:r>
    </w:p>
    <w:p w14:paraId="0A1CC0EB"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We, Hamad bin Isa Al Khalifa, King of the Kingdom of Bahrain.</w:t>
      </w:r>
    </w:p>
    <w:p w14:paraId="0C21B3FE"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Having reviewed the Constitution, in particular Article (38) thereof,</w:t>
      </w:r>
    </w:p>
    <w:p w14:paraId="0402D71B"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And Law No. (33) of 2006 regarding Sewage Disposal and Surface Water Drainage,</w:t>
      </w:r>
    </w:p>
    <w:p w14:paraId="7C02E819"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And upon the submission of the Prime Minister,</w:t>
      </w:r>
    </w:p>
    <w:p w14:paraId="168EF05A"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And after the approval of the Cabinet,</w:t>
      </w:r>
    </w:p>
    <w:p w14:paraId="04A758D5"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Hereby Decree the following Law:</w:t>
      </w:r>
    </w:p>
    <w:p w14:paraId="23079655"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Article One</w:t>
      </w:r>
    </w:p>
    <w:p w14:paraId="751F0222"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The definitions of "the Ministry," "the Minister," "surface water," and "notification" contained in Article (1) of Law No. (33) of 2006 regarding Sewage Disposal and Surface Water Drainage shall be replaced with the following definitions:</w:t>
      </w:r>
    </w:p>
    <w:p w14:paraId="41A1C897"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 Ministry:</w:t>
      </w:r>
    </w:p>
    <w:p w14:paraId="7699149B"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The ministry concerned with public works.</w:t>
      </w:r>
    </w:p>
    <w:p w14:paraId="69B870A6"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 Minister:</w:t>
      </w:r>
    </w:p>
    <w:p w14:paraId="63C67156"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The minister concerned with public works.</w:t>
      </w:r>
    </w:p>
    <w:p w14:paraId="4EF6D2B3"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 Surface Water:</w:t>
      </w:r>
    </w:p>
    <w:p w14:paraId="6DFDEA6D"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lastRenderedPageBreak/>
        <w:t>Rainwater and water that emerges above the ground due to natural factors or any other sources specified by the implementing regulation.</w:t>
      </w:r>
    </w:p>
    <w:p w14:paraId="411749CA"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 Notification:</w:t>
      </w:r>
    </w:p>
    <w:p w14:paraId="35769D54"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The notification of the concerned party by electronic means or by registered mail with acknowledgment of receipt regarding any decision or action taken in accordance with the provisions of this Law.</w:t>
      </w:r>
    </w:p>
    <w:p w14:paraId="227E7C47"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Article Two</w:t>
      </w:r>
    </w:p>
    <w:p w14:paraId="697284AF"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The texts of Articles (16) and (17) of Law No. (33) of 2006 regarding Sewage Disposal and Surface Water Drainage shall be replaced with the following texts:</w:t>
      </w:r>
    </w:p>
    <w:p w14:paraId="6959260F"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Article (16):</w:t>
      </w:r>
    </w:p>
    <w:p w14:paraId="1C15EA4A"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Penalties</w:t>
      </w:r>
    </w:p>
    <w:p w14:paraId="0FC9CE63" w14:textId="77777777" w:rsidR="00214EA9" w:rsidRPr="000030EC" w:rsidRDefault="00214EA9" w:rsidP="000030EC">
      <w:pPr>
        <w:spacing w:line="360" w:lineRule="auto"/>
        <w:jc w:val="both"/>
        <w:rPr>
          <w:rFonts w:ascii="Arial" w:hAnsi="Arial" w:cs="Arial"/>
          <w:sz w:val="28"/>
          <w:szCs w:val="28"/>
          <w:lang w:val="en-GB"/>
        </w:rPr>
      </w:pPr>
      <w:proofErr w:type="gramStart"/>
      <w:r w:rsidRPr="000030EC">
        <w:rPr>
          <w:rFonts w:ascii="Arial" w:hAnsi="Arial" w:cs="Arial"/>
          <w:sz w:val="28"/>
          <w:szCs w:val="28"/>
          <w:lang w:val="en-GB"/>
        </w:rPr>
        <w:t>a</w:t>
      </w:r>
      <w:r w:rsidRPr="000030EC">
        <w:rPr>
          <w:rFonts w:ascii="Arial" w:hAnsi="Arial" w:cs="Arial"/>
          <w:sz w:val="28"/>
          <w:szCs w:val="28"/>
        </w:rPr>
        <w:t xml:space="preserve"> .</w:t>
      </w:r>
      <w:r w:rsidRPr="000030EC">
        <w:rPr>
          <w:rFonts w:ascii="Arial" w:hAnsi="Arial" w:cs="Arial"/>
          <w:sz w:val="28"/>
          <w:szCs w:val="28"/>
          <w:lang w:val="en-GB"/>
        </w:rPr>
        <w:t>Anyone</w:t>
      </w:r>
      <w:proofErr w:type="gramEnd"/>
      <w:r w:rsidRPr="000030EC">
        <w:rPr>
          <w:rFonts w:ascii="Arial" w:hAnsi="Arial" w:cs="Arial"/>
          <w:sz w:val="28"/>
          <w:szCs w:val="28"/>
          <w:lang w:val="en-GB"/>
        </w:rPr>
        <w:t xml:space="preserve"> who violates, causes, or permits a violation of any provision of Articles (3) and (10) of this Law shall be punished with imprisonment for a period not exceeding one month and a fine not less than one thousand dinars and not exceeding three thousand dinars, or with either of these penalties.</w:t>
      </w:r>
    </w:p>
    <w:p w14:paraId="4BFF539A"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b. A fine not less than two hundred dinars and not exceeding five hundred dinars shall be imposed on anyone who violates any provision of Articles (6) and (11) of this Law.</w:t>
      </w:r>
    </w:p>
    <w:p w14:paraId="1D371829"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c. A fine not less than five hundred dinars and not exceeding one thousand dinars shall be imposed on anyone who violates the conditions of the licence granted to them in accordance with the provisions of this Law.</w:t>
      </w:r>
    </w:p>
    <w:p w14:paraId="65A68EDF" w14:textId="77777777" w:rsidR="00214EA9" w:rsidRPr="000030EC" w:rsidRDefault="00214EA9" w:rsidP="001E3A08">
      <w:pPr>
        <w:keepNext/>
        <w:spacing w:line="360" w:lineRule="auto"/>
        <w:jc w:val="both"/>
        <w:rPr>
          <w:rFonts w:ascii="Arial" w:hAnsi="Arial" w:cs="Arial"/>
          <w:sz w:val="28"/>
          <w:szCs w:val="28"/>
          <w:lang w:val="en-GB"/>
        </w:rPr>
      </w:pPr>
      <w:r w:rsidRPr="000030EC">
        <w:rPr>
          <w:rFonts w:ascii="Arial" w:hAnsi="Arial" w:cs="Arial"/>
          <w:sz w:val="28"/>
          <w:szCs w:val="28"/>
          <w:lang w:val="en-GB"/>
        </w:rPr>
        <w:lastRenderedPageBreak/>
        <w:t>Article (17):</w:t>
      </w:r>
    </w:p>
    <w:p w14:paraId="41C3E0C5" w14:textId="77777777" w:rsidR="00214EA9" w:rsidRPr="000030EC" w:rsidRDefault="00214EA9" w:rsidP="001E3A08">
      <w:pPr>
        <w:keepNext/>
        <w:spacing w:line="360" w:lineRule="auto"/>
        <w:jc w:val="both"/>
        <w:rPr>
          <w:rFonts w:ascii="Arial" w:hAnsi="Arial" w:cs="Arial"/>
          <w:sz w:val="28"/>
          <w:szCs w:val="28"/>
          <w:lang w:val="en-GB"/>
        </w:rPr>
      </w:pPr>
      <w:r w:rsidRPr="000030EC">
        <w:rPr>
          <w:rFonts w:ascii="Arial" w:hAnsi="Arial" w:cs="Arial"/>
          <w:sz w:val="28"/>
          <w:szCs w:val="28"/>
          <w:lang w:val="en-GB"/>
        </w:rPr>
        <w:t>Fees</w:t>
      </w:r>
    </w:p>
    <w:p w14:paraId="1292C4A7" w14:textId="77777777" w:rsidR="00214EA9" w:rsidRPr="000030EC" w:rsidRDefault="00214EA9" w:rsidP="001E3A08">
      <w:pPr>
        <w:keepNext/>
        <w:spacing w:line="360" w:lineRule="auto"/>
        <w:jc w:val="both"/>
        <w:rPr>
          <w:rFonts w:ascii="Arial" w:hAnsi="Arial" w:cs="Arial"/>
          <w:sz w:val="28"/>
          <w:szCs w:val="28"/>
          <w:lang w:val="en-GB"/>
        </w:rPr>
      </w:pPr>
      <w:r w:rsidRPr="000030EC">
        <w:rPr>
          <w:rFonts w:ascii="Arial" w:hAnsi="Arial" w:cs="Arial"/>
          <w:sz w:val="28"/>
          <w:szCs w:val="28"/>
          <w:lang w:val="en-GB"/>
        </w:rPr>
        <w:t>a. A fee shall be imposed for submitting the licence application and for amending its conditions in accordance with the provisions of Articles (4) and (5) Paragraph (b) of this Law. Fees shall also be imposed for the disposal of Surface Water and the use of treated wastewater and other sanitation services, which shall be determined by a decision from the Minister.</w:t>
      </w:r>
    </w:p>
    <w:p w14:paraId="238F0167"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b. A decision from the Minister, after the approval of the Cabinet, shall determine the categories of the service fees mentioned in Clause (a) of this Article, as well as the circumstances under which they may be reduced, exempted, or waived.</w:t>
      </w:r>
    </w:p>
    <w:p w14:paraId="403591E0"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c. The first residence of Bahraini citizens shall be exempt from the fees stipulated in Clause (a) of this Article.</w:t>
      </w:r>
    </w:p>
    <w:p w14:paraId="622A26D3"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Article Three</w:t>
      </w:r>
    </w:p>
    <w:p w14:paraId="06204E70"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206DD3BD"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King of the Kingdom of Bahrain</w:t>
      </w:r>
    </w:p>
    <w:p w14:paraId="3060C437"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Hamad bin Isa Al Khalifa</w:t>
      </w:r>
    </w:p>
    <w:p w14:paraId="0B54418F"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Prime Minister</w:t>
      </w:r>
    </w:p>
    <w:p w14:paraId="3A63BAAE"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Salman bin Hamad Al Khalifa</w:t>
      </w:r>
    </w:p>
    <w:p w14:paraId="1EFD73BD"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Issued at Riffa Palace:</w:t>
      </w:r>
    </w:p>
    <w:p w14:paraId="7C4DDAEB"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lastRenderedPageBreak/>
        <w:t>On:</w:t>
      </w:r>
    </w:p>
    <w:p w14:paraId="51D47197"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10 Rabi' al-Awwal 1445 AH</w:t>
      </w:r>
    </w:p>
    <w:p w14:paraId="5E169062"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Corresponding to:</w:t>
      </w:r>
    </w:p>
    <w:p w14:paraId="22ADFA56" w14:textId="77777777" w:rsidR="00214EA9" w:rsidRPr="000030EC" w:rsidRDefault="00214EA9" w:rsidP="000030EC">
      <w:pPr>
        <w:spacing w:line="360" w:lineRule="auto"/>
        <w:jc w:val="both"/>
        <w:rPr>
          <w:rFonts w:ascii="Arial" w:hAnsi="Arial" w:cs="Arial"/>
          <w:sz w:val="28"/>
          <w:szCs w:val="28"/>
          <w:lang w:val="en-GB"/>
        </w:rPr>
      </w:pPr>
      <w:r w:rsidRPr="000030EC">
        <w:rPr>
          <w:rFonts w:ascii="Arial" w:hAnsi="Arial" w:cs="Arial"/>
          <w:sz w:val="28"/>
          <w:szCs w:val="28"/>
          <w:lang w:val="en-GB"/>
        </w:rPr>
        <w:t>25 September 2023</w:t>
      </w:r>
    </w:p>
    <w:p w14:paraId="47BEEE58" w14:textId="77777777" w:rsidR="001B3095" w:rsidRPr="000030EC" w:rsidRDefault="001B3095" w:rsidP="000030EC">
      <w:pPr>
        <w:spacing w:line="360" w:lineRule="auto"/>
        <w:rPr>
          <w:rFonts w:ascii="Arial" w:hAnsi="Arial" w:cs="Arial"/>
          <w:sz w:val="28"/>
          <w:szCs w:val="28"/>
        </w:rPr>
      </w:pPr>
    </w:p>
    <w:sectPr w:rsidR="001B3095" w:rsidRPr="000030EC" w:rsidSect="000030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67ED6" w14:textId="77777777" w:rsidR="00F30B55" w:rsidRDefault="00F30B55" w:rsidP="00602D42">
      <w:pPr>
        <w:spacing w:after="0" w:line="240" w:lineRule="auto"/>
      </w:pPr>
      <w:r>
        <w:separator/>
      </w:r>
    </w:p>
  </w:endnote>
  <w:endnote w:type="continuationSeparator" w:id="0">
    <w:p w14:paraId="093E4414" w14:textId="77777777" w:rsidR="00F30B55" w:rsidRDefault="00F30B55" w:rsidP="0060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6D87" w14:textId="77777777" w:rsidR="00602D42" w:rsidRDefault="0060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B467" w14:textId="77777777" w:rsidR="00602D42" w:rsidRDefault="00602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8C8E" w14:textId="77777777" w:rsidR="00602D42" w:rsidRDefault="00602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213AE" w14:textId="77777777" w:rsidR="00F30B55" w:rsidRDefault="00F30B55" w:rsidP="00602D42">
      <w:pPr>
        <w:spacing w:after="0" w:line="240" w:lineRule="auto"/>
      </w:pPr>
      <w:r>
        <w:separator/>
      </w:r>
    </w:p>
  </w:footnote>
  <w:footnote w:type="continuationSeparator" w:id="0">
    <w:p w14:paraId="0AD342E5" w14:textId="77777777" w:rsidR="00F30B55" w:rsidRDefault="00F30B55" w:rsidP="00602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CD23" w14:textId="77777777" w:rsidR="00602D42" w:rsidRDefault="00602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9594" w14:textId="2F6B5E1E" w:rsidR="00602D42" w:rsidRDefault="00602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1323" w14:textId="77777777" w:rsidR="00602D42" w:rsidRDefault="00602D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FB"/>
    <w:rsid w:val="000030EC"/>
    <w:rsid w:val="0011457E"/>
    <w:rsid w:val="001B3095"/>
    <w:rsid w:val="001E3A08"/>
    <w:rsid w:val="00214EA9"/>
    <w:rsid w:val="00232E2C"/>
    <w:rsid w:val="003A21FB"/>
    <w:rsid w:val="0043297E"/>
    <w:rsid w:val="00563698"/>
    <w:rsid w:val="00602D42"/>
    <w:rsid w:val="00637445"/>
    <w:rsid w:val="00736BE2"/>
    <w:rsid w:val="009B4BC4"/>
    <w:rsid w:val="009B55B2"/>
    <w:rsid w:val="009B72F2"/>
    <w:rsid w:val="00AB2A4C"/>
    <w:rsid w:val="00B16FD7"/>
    <w:rsid w:val="00C04199"/>
    <w:rsid w:val="00CB5DD1"/>
    <w:rsid w:val="00F30B55"/>
    <w:rsid w:val="00F57933"/>
    <w:rsid w:val="00F66831"/>
    <w:rsid w:val="13FDE5CC"/>
    <w:rsid w:val="20E03A28"/>
    <w:rsid w:val="505B6E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1E29F"/>
  <w15:docId w15:val="{D4BC2678-440C-4B3F-BC4B-63408528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602D42"/>
    <w:pPr>
      <w:spacing w:after="0" w:line="240" w:lineRule="auto"/>
    </w:pPr>
  </w:style>
  <w:style w:type="paragraph" w:styleId="Header">
    <w:name w:val="header"/>
    <w:basedOn w:val="Normal"/>
    <w:link w:val="HeaderChar"/>
    <w:uiPriority w:val="99"/>
    <w:unhideWhenUsed/>
    <w:rsid w:val="00602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42"/>
  </w:style>
  <w:style w:type="paragraph" w:styleId="Footer">
    <w:name w:val="footer"/>
    <w:basedOn w:val="Normal"/>
    <w:link w:val="FooterChar"/>
    <w:uiPriority w:val="99"/>
    <w:unhideWhenUsed/>
    <w:rsid w:val="00602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42"/>
  </w:style>
  <w:style w:type="character" w:styleId="CommentReference">
    <w:name w:val="annotation reference"/>
    <w:basedOn w:val="DefaultParagraphFont"/>
    <w:uiPriority w:val="99"/>
    <w:semiHidden/>
    <w:unhideWhenUsed/>
    <w:rsid w:val="00232E2C"/>
    <w:rPr>
      <w:sz w:val="16"/>
      <w:szCs w:val="16"/>
    </w:rPr>
  </w:style>
  <w:style w:type="paragraph" w:styleId="CommentText">
    <w:name w:val="annotation text"/>
    <w:basedOn w:val="Normal"/>
    <w:link w:val="CommentTextChar"/>
    <w:uiPriority w:val="99"/>
    <w:semiHidden/>
    <w:unhideWhenUsed/>
    <w:rsid w:val="00232E2C"/>
    <w:pPr>
      <w:spacing w:line="240" w:lineRule="auto"/>
    </w:pPr>
    <w:rPr>
      <w:sz w:val="20"/>
      <w:szCs w:val="20"/>
    </w:rPr>
  </w:style>
  <w:style w:type="character" w:customStyle="1" w:styleId="CommentTextChar">
    <w:name w:val="Comment Text Char"/>
    <w:basedOn w:val="DefaultParagraphFont"/>
    <w:link w:val="CommentText"/>
    <w:uiPriority w:val="99"/>
    <w:semiHidden/>
    <w:rsid w:val="00232E2C"/>
    <w:rPr>
      <w:sz w:val="20"/>
      <w:szCs w:val="20"/>
    </w:rPr>
  </w:style>
  <w:style w:type="paragraph" w:styleId="CommentSubject">
    <w:name w:val="annotation subject"/>
    <w:basedOn w:val="CommentText"/>
    <w:next w:val="CommentText"/>
    <w:link w:val="CommentSubjectChar"/>
    <w:uiPriority w:val="99"/>
    <w:semiHidden/>
    <w:unhideWhenUsed/>
    <w:rsid w:val="00232E2C"/>
    <w:rPr>
      <w:b/>
      <w:bCs/>
    </w:rPr>
  </w:style>
  <w:style w:type="character" w:customStyle="1" w:styleId="CommentSubjectChar">
    <w:name w:val="Comment Subject Char"/>
    <w:basedOn w:val="CommentTextChar"/>
    <w:link w:val="CommentSubject"/>
    <w:uiPriority w:val="99"/>
    <w:semiHidden/>
    <w:rsid w:val="00232E2C"/>
    <w:rPr>
      <w:b/>
      <w:bCs/>
      <w:sz w:val="20"/>
      <w:szCs w:val="20"/>
    </w:rPr>
  </w:style>
  <w:style w:type="paragraph" w:styleId="BalloonText">
    <w:name w:val="Balloon Text"/>
    <w:basedOn w:val="Normal"/>
    <w:link w:val="BalloonTextChar"/>
    <w:uiPriority w:val="99"/>
    <w:semiHidden/>
    <w:unhideWhenUsed/>
    <w:rsid w:val="00232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0617a5eb-0866-4c58-b67a-ba8c03722125_1" sourcehash="1914096612" targethash="278725597"/>
  <segment id="8a6f90d2-d3fe-4073-8cd3-41f8b85e9806_2" sourcehash="-233327372" targethash="-1295876005"/>
  <segment id="54dbeda2-71a8-45b0-8331-104706ac86dd_3" sourcehash="976136552" targethash="63188609"/>
  <segment id="c1e9f714-27bb-4e78-919f-3b2514c91dd4_4" sourcehash="1219611477" targethash="165536843"/>
  <segment id="58afc5de-8e30-484f-b927-6af95f0762e3_5" sourcehash="1025096312" targethash="1567474042"/>
  <segment id="740fc7e5-51db-4888-9b6d-7e97bbad7b6f_6" sourcehash="-235984447" targethash="-713810608"/>
  <segment id="dfd001b5-cdc3-49f9-b5dd-70f2d7cfc78f_7" sourcehash="8259785" targethash="-1980705767"/>
  <segment id="d778c35b-145f-460f-968a-219c2e2c972d_8" sourcehash="-387515388" targethash="-424080548"/>
  <segment id="c53bf6de-2d3a-4ec4-9abb-cce28db6a455_9" sourcehash="-1093966114" targethash="-462821609"/>
  <segment id="afb8eaa5-4c92-4bd8-8af9-a2ab977f93cb_10" sourcehash="-1904640603" targethash="1451606234"/>
  <segment id="afb8eaa5-4c92-4bd8-8af9-a2ab977f93cb_11" sourcehash="-1659896027" targethash="2031104531"/>
  <segment id="295ea874-ebff-48de-8e0b-15b63f48b6f9_12" sourcehash="37960897" targethash="1965768504"/>
  <segment id="295ea874-ebff-48de-8e0b-15b63f48b6f9_13" sourcehash="1827986726" targethash="-1230179883"/>
  <segment id="e0078011-88e3-4da5-9f77-f875f20da68d_14" sourcehash="-1003114261" targethash="-1983409169"/>
  <segment id="e0078011-88e3-4da5-9f77-f875f20da68d_15" sourcehash="-1491702329" targethash="-102220186"/>
  <segment id="1cea9a30-d3da-4b46-8478-fb86f1e77b31_16" sourcehash="-822077978" targethash="1986781091"/>
  <segment id="1cea9a30-d3da-4b46-8478-fb86f1e77b31_17" sourcehash="710201804" targethash="-1712815712"/>
  <segment id="85f8f934-6d57-42ad-9d90-78891ee914de_18" sourcehash="-100686717" targethash="-1643992708"/>
  <segment id="76dd7725-5a55-4153-b3d7-ab49ce39975f_19" sourcehash="-625813291" targethash="-2015030986"/>
  <segment id="bd0dffbf-143a-4a77-b1b3-ad05d660960c_20" sourcehash="-349197038" targethash="1942866405"/>
  <segment id="819741df-6747-4332-bd50-3894022b6be3_21" sourcehash="-744640509" targethash="833613845"/>
  <segment id="6a11f954-dd08-4a08-a9f4-d4fb0f41bc90_22" sourcehash="-975663240" targethash="-945549471"/>
  <segment id="0a06ed90-9492-416b-adab-d0ed7d03ebef_23" sourcehash="-1457845239" targethash="1102780516"/>
  <segment id="ed849db4-6921-4115-8c35-edd581a37633_24" sourcehash="-789690280" targethash="1565840275"/>
  <segment id="59fc4e85-9d0f-4360-ae7b-fa4aebe2d2fd_25" sourcehash="1021289636" targethash="-211203146"/>
  <segment id="8b83f796-37e8-4f9d-b9bb-667b60544e92_26" sourcehash="1101459711" targethash="-1586216712"/>
  <segment id="bcc18d22-8a5d-4169-bc6e-f4975ff8938c_27" sourcehash="2096235071" targethash="23028066"/>
  <segment id="8e253ee1-eae7-448e-8862-b4727cdc5f66_28" sourcehash="-820200799" targethash="238376855"/>
  <segment id="2ac0cb07-4e98-4ce8-97b0-3b1854ff5191_29" sourcehash="798888823" targethash="98086099"/>
  <segment id="71265bb3-e95c-48ac-bba8-e454c417be2a_30" sourcehash="1341673360" targethash="1821567201"/>
  <segment id="aa63cf14-0860-4015-86e7-25c3a23571f0_31" sourcehash="-2013411741" targethash="-1208768"/>
  <segment id="40c907f6-49ce-4966-a2d8-96e0034a062a_32" sourcehash="-1215176870" targethash="-728188996"/>
  <segment id="a32de176-d58d-4fc0-a318-8861979b2c5a_33" sourcehash="509580694" targethash="-586101018"/>
  <segment id="3179f2db-0269-40cc-a051-91d0f25b0c22_34" sourcehash="-488383653" targethash="-276322483"/>
  <segment id="b9b268cb-03aa-4a96-bb21-e9194abf1ba4_35" sourcehash="96768175" targethash="834090120"/>
  <segment id="922583fe-2a22-4786-b0a1-feee6bb1ced5_36" sourcehash="-1978742099" targethash="1372572062"/>
  <segment id="b1229838-0914-4106-abea-6f716c3ceb85_37" sourcehash="1496736520" targethash="-226644742"/>
  <segment id="b1229838-0914-4106-abea-6f716c3ceb85_38" sourcehash="-632300061" targethash="1701383306"/>
  <segment id="07626f27-cc57-4c06-8fd9-a64c53563183_39" sourcehash="-1703553268" targethash="-837869559"/>
  <segment id="07626f27-cc57-4c06-8fd9-a64c53563183_40" sourcehash="1199841769" targethash="1909670825"/>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2025-03-14T11:54:00Z</dcterms:created>
  <dcterms:modified xsi:type="dcterms:W3CDTF">2025-05-08T07:13:00Z</dcterms:modified>
</cp:coreProperties>
</file>