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18A4" w14:textId="77777777" w:rsidR="00F35D0E" w:rsidRPr="00F35D0E" w:rsidRDefault="00F35D0E" w:rsidP="00F35D0E">
      <w:pPr>
        <w:spacing w:line="360" w:lineRule="auto"/>
        <w:rPr>
          <w:rFonts w:ascii="Arial" w:hAnsi="Arial" w:cs="Arial"/>
          <w:b/>
          <w:bCs/>
          <w:sz w:val="28"/>
          <w:szCs w:val="28"/>
          <w:lang w:val="en-GB"/>
        </w:rPr>
      </w:pPr>
      <w:r w:rsidRPr="00F35D0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CF037D7" w14:textId="77777777" w:rsidR="00F35D0E" w:rsidRPr="00F35D0E" w:rsidRDefault="00F35D0E" w:rsidP="00F35D0E">
      <w:pPr>
        <w:spacing w:line="360" w:lineRule="auto"/>
        <w:rPr>
          <w:rFonts w:ascii="Arial" w:hAnsi="Arial" w:cs="Arial"/>
          <w:b/>
          <w:bCs/>
          <w:sz w:val="28"/>
          <w:szCs w:val="28"/>
          <w:lang w:val="en-GB"/>
        </w:rPr>
      </w:pPr>
      <w:r w:rsidRPr="00F35D0E">
        <w:rPr>
          <w:rFonts w:ascii="Arial" w:hAnsi="Arial" w:cs="Arial"/>
          <w:b/>
          <w:bCs/>
          <w:sz w:val="28"/>
          <w:szCs w:val="28"/>
          <w:lang w:val="en-GB"/>
        </w:rPr>
        <w:t>For any corrections, remarks, or suggestions, kindly contact us on translate@lloc.gov.bh</w:t>
      </w:r>
    </w:p>
    <w:p w14:paraId="13ABD0FB" w14:textId="169AFF63" w:rsidR="00F35D0E" w:rsidRPr="00F35D0E" w:rsidRDefault="00F35D0E" w:rsidP="00F35D0E">
      <w:pPr>
        <w:spacing w:line="360" w:lineRule="auto"/>
        <w:rPr>
          <w:rFonts w:ascii="Arial" w:hAnsi="Arial" w:cs="Arial"/>
          <w:b/>
          <w:bCs/>
          <w:sz w:val="28"/>
          <w:szCs w:val="28"/>
          <w:lang w:val="en-GB"/>
        </w:rPr>
      </w:pPr>
      <w:r w:rsidRPr="00F35D0E">
        <w:rPr>
          <w:rFonts w:ascii="Arial" w:hAnsi="Arial" w:cs="Arial"/>
          <w:b/>
          <w:bCs/>
          <w:sz w:val="28"/>
          <w:szCs w:val="28"/>
          <w:lang w:val="en-GB"/>
        </w:rPr>
        <w:t>Published on the website on April 2025</w:t>
      </w:r>
      <w:r w:rsidRPr="00F35D0E">
        <w:rPr>
          <w:rFonts w:ascii="Arial" w:hAnsi="Arial" w:cs="Arial"/>
          <w:b/>
          <w:bCs/>
          <w:sz w:val="28"/>
          <w:szCs w:val="28"/>
          <w:lang w:val="en-GB"/>
        </w:rPr>
        <w:br w:type="page"/>
      </w:r>
    </w:p>
    <w:p w14:paraId="76D56497" w14:textId="55009D9F" w:rsidR="001C6296" w:rsidRPr="00F35D0E" w:rsidRDefault="001C6296" w:rsidP="00F35D0E">
      <w:pPr>
        <w:spacing w:line="360" w:lineRule="auto"/>
        <w:jc w:val="center"/>
        <w:rPr>
          <w:rFonts w:ascii="Arial" w:hAnsi="Arial" w:cs="Arial"/>
          <w:b/>
          <w:bCs/>
          <w:sz w:val="28"/>
          <w:szCs w:val="28"/>
          <w:lang w:val="en-GB"/>
        </w:rPr>
      </w:pPr>
      <w:r w:rsidRPr="00F35D0E">
        <w:rPr>
          <w:rFonts w:ascii="Arial" w:hAnsi="Arial" w:cs="Arial"/>
          <w:b/>
          <w:bCs/>
          <w:sz w:val="28"/>
          <w:szCs w:val="28"/>
          <w:lang w:val="en-GB"/>
        </w:rPr>
        <w:lastRenderedPageBreak/>
        <w:t>Legislative Decree No. (10) of 1976</w:t>
      </w:r>
    </w:p>
    <w:p w14:paraId="334BA577" w14:textId="7380EA91" w:rsidR="001C6296" w:rsidRPr="00F35D0E" w:rsidRDefault="001C6296" w:rsidP="00F35D0E">
      <w:pPr>
        <w:spacing w:line="360" w:lineRule="auto"/>
        <w:jc w:val="center"/>
        <w:rPr>
          <w:rFonts w:ascii="Arial" w:hAnsi="Arial" w:cs="Arial"/>
          <w:b/>
          <w:bCs/>
          <w:sz w:val="28"/>
          <w:szCs w:val="28"/>
          <w:lang w:val="en-GB"/>
        </w:rPr>
      </w:pPr>
      <w:r w:rsidRPr="00F35D0E">
        <w:rPr>
          <w:rFonts w:ascii="Arial" w:hAnsi="Arial" w:cs="Arial"/>
          <w:b/>
          <w:bCs/>
          <w:sz w:val="28"/>
          <w:szCs w:val="28"/>
          <w:lang w:val="en-GB"/>
        </w:rPr>
        <w:t>regarding Housing</w:t>
      </w:r>
    </w:p>
    <w:p w14:paraId="7817A712" w14:textId="319B32F2"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t xml:space="preserve">We, Isa bin Salman Al </w:t>
      </w:r>
      <w:proofErr w:type="gramStart"/>
      <w:r w:rsidRPr="00F35D0E">
        <w:rPr>
          <w:rFonts w:ascii="Arial" w:hAnsi="Arial" w:cs="Arial"/>
          <w:sz w:val="28"/>
          <w:szCs w:val="28"/>
          <w:lang w:val="en-GB"/>
        </w:rPr>
        <w:t xml:space="preserve">Khalifa,   </w:t>
      </w:r>
      <w:proofErr w:type="gramEnd"/>
      <w:r w:rsidRPr="00F35D0E">
        <w:rPr>
          <w:rFonts w:ascii="Arial" w:hAnsi="Arial" w:cs="Arial"/>
          <w:sz w:val="28"/>
          <w:szCs w:val="28"/>
          <w:lang w:val="en-GB"/>
        </w:rPr>
        <w:t xml:space="preserve">                                                                                                           Emir of the State of Bahrain.</w:t>
      </w:r>
    </w:p>
    <w:p w14:paraId="3E71681F"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Having reviewed the Constitution,</w:t>
      </w:r>
    </w:p>
    <w:p w14:paraId="1FB431D3"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The Emiri Order No. (4) of 1975,</w:t>
      </w:r>
    </w:p>
    <w:p w14:paraId="5EE826D8"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And upon the submission of the Minister of Housing,</w:t>
      </w:r>
    </w:p>
    <w:p w14:paraId="0B271958"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And after the approval of the Cabinet,</w:t>
      </w:r>
    </w:p>
    <w:p w14:paraId="7603F585"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Hereby Decree the following Law:</w:t>
      </w:r>
    </w:p>
    <w:p w14:paraId="10EEE422"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1 –</w:t>
      </w:r>
    </w:p>
    <w:p w14:paraId="37B2A6B9"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rPr>
        <w:t>The Ministry of Housing shall be responsible for constructing housing designated for distribution to citizens, which shall be allocated either through ownership or leasing. The Ministry shall also provide loans to citizens for constructing new homes, purchasing, or renovating existing ones,</w:t>
      </w:r>
      <w:r w:rsidRPr="00F35D0E">
        <w:rPr>
          <w:rFonts w:ascii="Arial" w:hAnsi="Arial" w:cs="Arial"/>
          <w:sz w:val="28"/>
          <w:szCs w:val="28"/>
          <w:lang w:val="en-GB"/>
        </w:rPr>
        <w:t xml:space="preserve"> in accordance with the provisions of this Law.</w:t>
      </w:r>
    </w:p>
    <w:p w14:paraId="5BB2CDCA"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2 –</w:t>
      </w:r>
    </w:p>
    <w:p w14:paraId="758D9C44"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rPr>
        <w:t xml:space="preserve">Housing allocated for this purpose, pursuant to this Law, shall be distributed based on priorities determined by a decision of the Minister of Housing, whether for ownership or leasing. A committee shall be established to advise on the distribution process, with its additional competencies defined by </w:t>
      </w:r>
      <w:r w:rsidRPr="00F35D0E">
        <w:rPr>
          <w:rFonts w:ascii="Arial" w:hAnsi="Arial" w:cs="Arial"/>
          <w:sz w:val="28"/>
          <w:szCs w:val="28"/>
          <w:lang w:val="en-GB"/>
        </w:rPr>
        <w:t>a decision from the Minister of Housing. The committee's decisions shall not be implemented without the approval of the Minister of Housing.</w:t>
      </w:r>
    </w:p>
    <w:p w14:paraId="54B0CD65"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lastRenderedPageBreak/>
        <w:t>Article – 3 –</w:t>
      </w:r>
    </w:p>
    <w:p w14:paraId="1DC47CBA"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No person who acquires ownership of one of the homes pursuant to this Law may sell it to others without the approval of the Ministry of Housing, and provided that at least seven years have elapsed from the date of their acquisition of the home.</w:t>
      </w:r>
    </w:p>
    <w:p w14:paraId="15F1A7AA"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4 –</w:t>
      </w:r>
    </w:p>
    <w:p w14:paraId="72B9F228"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The Minister of Housing shall issue a decision to regulate the conditions of ownership and leasing of housing allocated for distribution to citizens pursuant to this Law.</w:t>
      </w:r>
    </w:p>
    <w:p w14:paraId="628BDAB8"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5 –</w:t>
      </w:r>
    </w:p>
    <w:p w14:paraId="2A52BE28"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The Minister of Housing shall issue a decision to regulate the lending of citizens for the purpose of constructing new homes or purchasing, renovating, or improving old homes.</w:t>
      </w:r>
    </w:p>
    <w:p w14:paraId="4355BAEE"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6 –</w:t>
      </w:r>
    </w:p>
    <w:p w14:paraId="4AF1115B"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All provisions that contradict this Law shall be repealed, while existing regulations and rules pertaining to ownership, leasing, and lending shall remain in effect until amended or repealed by decisions issued in accordance with the provisions of this Law.</w:t>
      </w:r>
    </w:p>
    <w:p w14:paraId="1D33A22F" w14:textId="77777777" w:rsidR="001C6296" w:rsidRPr="00F35D0E" w:rsidRDefault="001C6296" w:rsidP="00F35D0E">
      <w:pPr>
        <w:spacing w:line="360" w:lineRule="auto"/>
        <w:jc w:val="center"/>
        <w:rPr>
          <w:rFonts w:ascii="Arial" w:hAnsi="Arial" w:cs="Arial"/>
          <w:sz w:val="28"/>
          <w:szCs w:val="28"/>
          <w:lang w:val="en-GB"/>
        </w:rPr>
      </w:pPr>
      <w:r w:rsidRPr="00F35D0E">
        <w:rPr>
          <w:rFonts w:ascii="Arial" w:hAnsi="Arial" w:cs="Arial"/>
          <w:sz w:val="28"/>
          <w:szCs w:val="28"/>
          <w:lang w:val="en-GB"/>
        </w:rPr>
        <w:t>Article – 7 –</w:t>
      </w:r>
    </w:p>
    <w:p w14:paraId="60E19B8C" w14:textId="77777777" w:rsidR="001C6296" w:rsidRPr="00F35D0E" w:rsidRDefault="001C6296" w:rsidP="00F35D0E">
      <w:pPr>
        <w:spacing w:line="360" w:lineRule="auto"/>
        <w:jc w:val="both"/>
        <w:rPr>
          <w:rFonts w:ascii="Arial" w:hAnsi="Arial" w:cs="Arial"/>
          <w:sz w:val="28"/>
          <w:szCs w:val="28"/>
          <w:lang w:val="en-GB"/>
        </w:rPr>
      </w:pPr>
      <w:r w:rsidRPr="00F35D0E">
        <w:rPr>
          <w:rFonts w:ascii="Arial" w:hAnsi="Arial" w:cs="Arial"/>
          <w:sz w:val="28"/>
          <w:szCs w:val="28"/>
          <w:lang w:val="en-GB"/>
        </w:rPr>
        <w:t>The Ministers—each within their jurisdiction—shall implement the provisions of this Law, and it shall come into force from the date of its publication in the Official Gazette.</w:t>
      </w:r>
    </w:p>
    <w:p w14:paraId="16C69A52" w14:textId="77777777" w:rsidR="001C6296" w:rsidRPr="00F35D0E" w:rsidRDefault="001C6296" w:rsidP="00F35D0E">
      <w:pPr>
        <w:spacing w:line="360" w:lineRule="auto"/>
        <w:jc w:val="both"/>
        <w:rPr>
          <w:rFonts w:ascii="Arial" w:hAnsi="Arial" w:cs="Arial"/>
          <w:sz w:val="28"/>
          <w:szCs w:val="28"/>
          <w:lang w:val="en-GB"/>
        </w:rPr>
      </w:pPr>
    </w:p>
    <w:p w14:paraId="4A1925B9" w14:textId="77777777"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lastRenderedPageBreak/>
        <w:t>Emir of the State of Bahrain</w:t>
      </w:r>
    </w:p>
    <w:p w14:paraId="41C8F835" w14:textId="77777777"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t>Isa bin Salman Al Khalifa</w:t>
      </w:r>
    </w:p>
    <w:p w14:paraId="55E6E677" w14:textId="2F8A26E9"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t>Issued at Riffa Palace</w:t>
      </w:r>
    </w:p>
    <w:p w14:paraId="16243B93" w14:textId="62038C56"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t>On 27 Safar 1396 AH</w:t>
      </w:r>
    </w:p>
    <w:p w14:paraId="070E2FCD" w14:textId="77777777" w:rsidR="001C6296" w:rsidRPr="00F35D0E" w:rsidRDefault="001C6296" w:rsidP="0034565C">
      <w:pPr>
        <w:spacing w:line="360" w:lineRule="auto"/>
        <w:rPr>
          <w:rFonts w:ascii="Arial" w:hAnsi="Arial" w:cs="Arial"/>
          <w:sz w:val="28"/>
          <w:szCs w:val="28"/>
          <w:lang w:val="en-GB"/>
        </w:rPr>
      </w:pPr>
      <w:r w:rsidRPr="00F35D0E">
        <w:rPr>
          <w:rFonts w:ascii="Arial" w:hAnsi="Arial" w:cs="Arial"/>
          <w:sz w:val="28"/>
          <w:szCs w:val="28"/>
          <w:lang w:val="en-GB"/>
        </w:rPr>
        <w:t>Corresponding to 28 February 1976</w:t>
      </w:r>
    </w:p>
    <w:p w14:paraId="1BC0C9D2" w14:textId="77777777" w:rsidR="0035536C" w:rsidRPr="0034565C" w:rsidRDefault="0035536C" w:rsidP="00F35D0E">
      <w:pPr>
        <w:spacing w:line="360" w:lineRule="auto"/>
        <w:rPr>
          <w:rFonts w:ascii="Arial" w:hAnsi="Arial" w:cs="Arial"/>
          <w:sz w:val="28"/>
          <w:szCs w:val="28"/>
          <w:lang w:val="en-GB"/>
        </w:rPr>
      </w:pPr>
    </w:p>
    <w:sectPr w:rsidR="0035536C" w:rsidRPr="0034565C" w:rsidSect="00F35D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E755" w14:textId="77777777" w:rsidR="00C422F7" w:rsidRDefault="00C422F7" w:rsidP="00BC66A0">
      <w:pPr>
        <w:spacing w:after="0" w:line="240" w:lineRule="auto"/>
      </w:pPr>
      <w:r>
        <w:separator/>
      </w:r>
    </w:p>
  </w:endnote>
  <w:endnote w:type="continuationSeparator" w:id="0">
    <w:p w14:paraId="138381F6" w14:textId="77777777" w:rsidR="00C422F7" w:rsidRDefault="00C422F7" w:rsidP="00BC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425A" w14:textId="77777777" w:rsidR="00BC66A0" w:rsidRDefault="00BC6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4B37" w14:textId="77777777" w:rsidR="00BC66A0" w:rsidRDefault="00BC6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8A91" w14:textId="77777777" w:rsidR="00BC66A0" w:rsidRDefault="00BC6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11E3" w14:textId="77777777" w:rsidR="00C422F7" w:rsidRDefault="00C422F7" w:rsidP="00BC66A0">
      <w:pPr>
        <w:spacing w:after="0" w:line="240" w:lineRule="auto"/>
      </w:pPr>
      <w:r>
        <w:separator/>
      </w:r>
    </w:p>
  </w:footnote>
  <w:footnote w:type="continuationSeparator" w:id="0">
    <w:p w14:paraId="70C2FC3D" w14:textId="77777777" w:rsidR="00C422F7" w:rsidRDefault="00C422F7" w:rsidP="00BC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C542" w14:textId="77777777" w:rsidR="00BC66A0" w:rsidRDefault="00BC6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96A0" w14:textId="0E01C4FA" w:rsidR="00BC66A0" w:rsidRDefault="00BC6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CFC" w14:textId="77777777" w:rsidR="00BC66A0" w:rsidRDefault="00BC6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9D"/>
    <w:rsid w:val="0004260B"/>
    <w:rsid w:val="00121E3A"/>
    <w:rsid w:val="00131B32"/>
    <w:rsid w:val="001C6296"/>
    <w:rsid w:val="00300C2F"/>
    <w:rsid w:val="0034565C"/>
    <w:rsid w:val="0035536C"/>
    <w:rsid w:val="003F3128"/>
    <w:rsid w:val="00430A9D"/>
    <w:rsid w:val="0043297E"/>
    <w:rsid w:val="004452FC"/>
    <w:rsid w:val="004C4824"/>
    <w:rsid w:val="006C27BD"/>
    <w:rsid w:val="00736BE2"/>
    <w:rsid w:val="00876B87"/>
    <w:rsid w:val="00BC66A0"/>
    <w:rsid w:val="00C422F7"/>
    <w:rsid w:val="00C63A15"/>
    <w:rsid w:val="00CB5DD1"/>
    <w:rsid w:val="00D00D44"/>
    <w:rsid w:val="00F35D0E"/>
    <w:rsid w:val="00FD740B"/>
    <w:rsid w:val="2C954AC9"/>
    <w:rsid w:val="6453C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1783"/>
  <w15:docId w15:val="{9C7F7605-70D9-466C-9150-2A99BBA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BC66A0"/>
    <w:pPr>
      <w:spacing w:after="0" w:line="240" w:lineRule="auto"/>
    </w:pPr>
  </w:style>
  <w:style w:type="paragraph" w:styleId="Header">
    <w:name w:val="header"/>
    <w:basedOn w:val="Normal"/>
    <w:link w:val="HeaderChar"/>
    <w:uiPriority w:val="99"/>
    <w:unhideWhenUsed/>
    <w:rsid w:val="00BC6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6A0"/>
  </w:style>
  <w:style w:type="paragraph" w:styleId="Footer">
    <w:name w:val="footer"/>
    <w:basedOn w:val="Normal"/>
    <w:link w:val="FooterChar"/>
    <w:uiPriority w:val="99"/>
    <w:unhideWhenUsed/>
    <w:rsid w:val="00BC6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6A0"/>
  </w:style>
  <w:style w:type="character" w:styleId="CommentReference">
    <w:name w:val="annotation reference"/>
    <w:basedOn w:val="DefaultParagraphFont"/>
    <w:uiPriority w:val="99"/>
    <w:semiHidden/>
    <w:unhideWhenUsed/>
    <w:rsid w:val="00D00D44"/>
    <w:rPr>
      <w:sz w:val="16"/>
      <w:szCs w:val="16"/>
    </w:rPr>
  </w:style>
  <w:style w:type="paragraph" w:styleId="CommentText">
    <w:name w:val="annotation text"/>
    <w:basedOn w:val="Normal"/>
    <w:link w:val="CommentTextChar"/>
    <w:uiPriority w:val="99"/>
    <w:semiHidden/>
    <w:unhideWhenUsed/>
    <w:rsid w:val="00D00D44"/>
    <w:pPr>
      <w:spacing w:line="240" w:lineRule="auto"/>
    </w:pPr>
    <w:rPr>
      <w:sz w:val="20"/>
      <w:szCs w:val="20"/>
    </w:rPr>
  </w:style>
  <w:style w:type="character" w:customStyle="1" w:styleId="CommentTextChar">
    <w:name w:val="Comment Text Char"/>
    <w:basedOn w:val="DefaultParagraphFont"/>
    <w:link w:val="CommentText"/>
    <w:uiPriority w:val="99"/>
    <w:semiHidden/>
    <w:rsid w:val="00D00D44"/>
    <w:rPr>
      <w:sz w:val="20"/>
      <w:szCs w:val="20"/>
    </w:rPr>
  </w:style>
  <w:style w:type="paragraph" w:styleId="CommentSubject">
    <w:name w:val="annotation subject"/>
    <w:basedOn w:val="CommentText"/>
    <w:next w:val="CommentText"/>
    <w:link w:val="CommentSubjectChar"/>
    <w:uiPriority w:val="99"/>
    <w:semiHidden/>
    <w:unhideWhenUsed/>
    <w:rsid w:val="00D00D44"/>
    <w:rPr>
      <w:b/>
      <w:bCs/>
    </w:rPr>
  </w:style>
  <w:style w:type="character" w:customStyle="1" w:styleId="CommentSubjectChar">
    <w:name w:val="Comment Subject Char"/>
    <w:basedOn w:val="CommentTextChar"/>
    <w:link w:val="CommentSubject"/>
    <w:uiPriority w:val="99"/>
    <w:semiHidden/>
    <w:rsid w:val="00D00D44"/>
    <w:rPr>
      <w:b/>
      <w:bCs/>
      <w:sz w:val="20"/>
      <w:szCs w:val="20"/>
    </w:rPr>
  </w:style>
  <w:style w:type="paragraph" w:styleId="BalloonText">
    <w:name w:val="Balloon Text"/>
    <w:basedOn w:val="Normal"/>
    <w:link w:val="BalloonTextChar"/>
    <w:uiPriority w:val="99"/>
    <w:semiHidden/>
    <w:unhideWhenUsed/>
    <w:rsid w:val="00D0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2d037535-38fe-4109-bb27-8e1bce7bbb39_1" sourcehash="-1245832078" targethash="995841509"/>
  <segment id="6dcef9bb-ecfb-4f8a-957c-202e30fcf9c6_2" sourcehash="-1246883541" targethash="-1246883541"/>
  <segment id="e7ab0d23-8819-4730-8922-e672e6514a08_3" sourcehash="-1167539645" targethash="-146336075"/>
  <segment id="ace20728-a586-4842-add6-38f48f98f6c6_4 a" sourcehash="-702966731" targethash="1763578935"/>
  <segment id="ace20728-a586-4842-add6-38f48f98f6c6_4 b a" sourcehash="670542177" targethash="-2074530337"/>
  <segment id="ace20728-a586-4842-add6-38f48f98f6c6_4 b b a" sourcehash="-1981928222" targethash="-1096444726"/>
  <segment id="ace20728-a586-4842-add6-38f48f98f6c6_4 b b b" sourcehash="-2014872350" targethash="-1552136077"/>
  <segment id="9a4efee5-d565-49a2-b712-ac346f815093_5" sourcehash="8259785" targethash="-1980705767"/>
  <segment id="bfffd9ac-9d7d-438d-805c-a2376a35d816_6" sourcehash="160097404" targethash="-1130496746"/>
  <segment id="4f4584ec-4ccc-4455-98ab-7a1db37634b5_7" sourcehash="-25885703" targethash="543252466"/>
  <segment id="e8aba6f1-7e25-4f17-bf63-b83bfcb91204_9" sourcehash="-1653350430" targethash="1923965119"/>
  <segment id="55516afb-8163-4499-b7a7-f64cb13b8b12_10" sourcehash="1589320759" targethash="-1068614781"/>
  <segment id="2a84f5a7-7d18-4aae-932e-a66dcd0250cc_12" sourcehash="-525541382" targethash="276226010"/>
  <segment id="3bcb7970-07ee-4670-8e69-796d8f58a337_13" sourcehash="-1483037982" targethash="1124331426"/>
  <segment id="8bae2993-aeae-4a97-ba4e-d535eb0c4e15_14" sourcehash="1504567290" targethash="1066301929"/>
  <segment id="81e1ad93-1d9b-4135-a50f-4efd10c1c040_15" sourcehash="-173164817" targethash="717022849"/>
  <segment id="285a3ad8-e4c6-4c9e-ac92-d90f1be05a18_16" sourcehash="-1388126214" targethash="-584321780"/>
  <segment id="7a4e478d-2a28-41dd-844d-e4b6854350b4_17" sourcehash="1001449531" targethash="-397708723"/>
  <segment id="b2762f34-0ad5-4e20-8db2-b5b1b4ec30fe_18" sourcehash="1124589562" targethash="-984934701"/>
  <segment id="59a5305f-d76f-419a-9b70-8bd7b333c79b_19" sourcehash="-1552238776" targethash="1190911076"/>
  <segment id="b7c0cfa9-0145-4ee9-ac9f-269f76b5ec5a_20" sourcehash="-702881797" targethash="-1695907209"/>
  <segment id="d44d832d-0551-42bb-b38d-46070a8277ec_21" sourcehash="1955291075" targethash="-1955268756"/>
  <segment id="26dbc0d5-19c1-4e80-81ac-cc6ed0bd6e68_22" sourcehash="-1780351699" targethash="1181577971"/>
  <segment id="e61001ca-0c90-4fca-9a81-7b0c94c769a2_23" sourcehash="-1871539891" targethash="-1441135965"/>
  <segment id="578862b2-1031-48dd-a259-16cd4c57af26_24" sourcehash="-1743086788" targethash="124127041"/>
  <segment id="92c236cf-d01c-4106-a24b-fcdd893a86f6_25" sourcehash="1248953118" targethash="1034804723"/>
  <segment id="4d2487da-e895-4e4a-8056-738aa04f5e21_26" sourcehash="-199053975" targethash="16445110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6</cp:revision>
  <dcterms:created xsi:type="dcterms:W3CDTF">2025-03-15T18:00:00Z</dcterms:created>
  <dcterms:modified xsi:type="dcterms:W3CDTF">2025-05-08T07:02:00Z</dcterms:modified>
</cp:coreProperties>
</file>