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CCC6D" w14:textId="77777777" w:rsidR="007B6468" w:rsidRPr="007B6468" w:rsidRDefault="007B6468" w:rsidP="007B6468">
      <w:pPr>
        <w:spacing w:line="360" w:lineRule="auto"/>
        <w:rPr>
          <w:rFonts w:ascii="Arial" w:hAnsi="Arial" w:cs="Arial"/>
          <w:b/>
          <w:bCs/>
          <w:sz w:val="28"/>
          <w:szCs w:val="28"/>
          <w:lang w:val="en-GB"/>
        </w:rPr>
      </w:pPr>
      <w:r w:rsidRPr="007B6468">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103A52A" w14:textId="77777777" w:rsidR="007B6468" w:rsidRPr="007B6468" w:rsidRDefault="007B6468" w:rsidP="007B6468">
      <w:pPr>
        <w:spacing w:line="360" w:lineRule="auto"/>
        <w:rPr>
          <w:rFonts w:ascii="Arial" w:hAnsi="Arial" w:cs="Arial"/>
          <w:b/>
          <w:bCs/>
          <w:sz w:val="28"/>
          <w:szCs w:val="28"/>
          <w:lang w:val="en-GB"/>
        </w:rPr>
      </w:pPr>
      <w:r w:rsidRPr="007B6468">
        <w:rPr>
          <w:rFonts w:ascii="Arial" w:hAnsi="Arial" w:cs="Arial"/>
          <w:b/>
          <w:bCs/>
          <w:sz w:val="28"/>
          <w:szCs w:val="28"/>
          <w:lang w:val="en-GB"/>
        </w:rPr>
        <w:t>For any corrections, remarks, or suggestions, kindly contact us on translate@lloc.gov.bh</w:t>
      </w:r>
    </w:p>
    <w:p w14:paraId="359EFFA9" w14:textId="33E43797" w:rsidR="007B6468" w:rsidRPr="007B6468" w:rsidRDefault="007B6468" w:rsidP="007B6468">
      <w:pPr>
        <w:spacing w:line="360" w:lineRule="auto"/>
        <w:rPr>
          <w:rFonts w:ascii="Arial" w:hAnsi="Arial" w:cs="Arial"/>
          <w:b/>
          <w:bCs/>
          <w:sz w:val="28"/>
          <w:szCs w:val="28"/>
          <w:lang w:val="en-GB"/>
        </w:rPr>
      </w:pPr>
      <w:r w:rsidRPr="007B6468">
        <w:rPr>
          <w:rFonts w:ascii="Arial" w:hAnsi="Arial" w:cs="Arial"/>
          <w:b/>
          <w:bCs/>
          <w:sz w:val="28"/>
          <w:szCs w:val="28"/>
          <w:lang w:val="en-GB"/>
        </w:rPr>
        <w:t>Published on the website on April 2025</w:t>
      </w:r>
      <w:r w:rsidRPr="007B6468">
        <w:rPr>
          <w:rFonts w:ascii="Arial" w:hAnsi="Arial" w:cs="Arial"/>
          <w:b/>
          <w:bCs/>
          <w:sz w:val="28"/>
          <w:szCs w:val="28"/>
          <w:lang w:val="en-GB"/>
        </w:rPr>
        <w:br w:type="page"/>
      </w:r>
    </w:p>
    <w:p w14:paraId="59BE1A9D" w14:textId="7495E5D5" w:rsidR="00397265" w:rsidRPr="007B6468" w:rsidRDefault="00397265" w:rsidP="00387153">
      <w:pPr>
        <w:spacing w:line="360" w:lineRule="auto"/>
        <w:jc w:val="center"/>
        <w:rPr>
          <w:rFonts w:ascii="Arial" w:hAnsi="Arial" w:cs="Arial"/>
          <w:b/>
          <w:bCs/>
          <w:sz w:val="28"/>
          <w:szCs w:val="28"/>
          <w:lang w:val="en-GB"/>
        </w:rPr>
      </w:pPr>
      <w:r w:rsidRPr="007B6468">
        <w:rPr>
          <w:rFonts w:ascii="Arial" w:hAnsi="Arial" w:cs="Arial"/>
          <w:b/>
          <w:bCs/>
          <w:sz w:val="28"/>
          <w:szCs w:val="28"/>
          <w:lang w:val="en-GB"/>
        </w:rPr>
        <w:lastRenderedPageBreak/>
        <w:t>Law No. (54) of 2009 Amending Legislative Decree No. (11) of 1976 Promulgating the Law Regulating Pensions and Retirement Gratuities for Officers and Personnel of the Bahrain Defence Force, and Public Security by Adding a New Article No. (11 bis)</w:t>
      </w:r>
    </w:p>
    <w:p w14:paraId="6D0FDA4A" w14:textId="77777777" w:rsidR="00397265" w:rsidRPr="007B6468" w:rsidRDefault="00397265" w:rsidP="007B6468">
      <w:pPr>
        <w:spacing w:line="360" w:lineRule="auto"/>
        <w:jc w:val="both"/>
        <w:rPr>
          <w:rFonts w:ascii="Arial" w:hAnsi="Arial" w:cs="Arial"/>
          <w:sz w:val="28"/>
          <w:szCs w:val="28"/>
          <w:lang w:val="en-GB"/>
        </w:rPr>
      </w:pPr>
      <w:r w:rsidRPr="007B6468">
        <w:rPr>
          <w:rFonts w:ascii="Arial" w:hAnsi="Arial" w:cs="Arial"/>
          <w:sz w:val="28"/>
          <w:szCs w:val="28"/>
          <w:lang w:val="en-GB"/>
        </w:rPr>
        <w:t>We, Hamad bin Isa Al Khalifa, King of the Kingdom of Bahrain.</w:t>
      </w:r>
    </w:p>
    <w:p w14:paraId="1436403F" w14:textId="77777777" w:rsidR="00397265" w:rsidRPr="007B6468" w:rsidRDefault="00397265" w:rsidP="007B6468">
      <w:pPr>
        <w:spacing w:line="360" w:lineRule="auto"/>
        <w:jc w:val="both"/>
        <w:rPr>
          <w:rFonts w:ascii="Arial" w:hAnsi="Arial" w:cs="Arial"/>
          <w:sz w:val="28"/>
          <w:szCs w:val="28"/>
          <w:lang w:val="en-GB"/>
        </w:rPr>
      </w:pPr>
      <w:r w:rsidRPr="007B6468">
        <w:rPr>
          <w:rFonts w:ascii="Arial" w:hAnsi="Arial" w:cs="Arial"/>
          <w:sz w:val="28"/>
          <w:szCs w:val="28"/>
          <w:lang w:val="en-GB"/>
        </w:rPr>
        <w:t>Having reviewed the Constitution,</w:t>
      </w:r>
    </w:p>
    <w:p w14:paraId="004B7201" w14:textId="77777777" w:rsidR="00397265" w:rsidRPr="007B6468" w:rsidRDefault="00397265" w:rsidP="007B6468">
      <w:pPr>
        <w:spacing w:line="360" w:lineRule="auto"/>
        <w:jc w:val="both"/>
        <w:rPr>
          <w:rFonts w:ascii="Arial" w:hAnsi="Arial" w:cs="Arial"/>
          <w:sz w:val="28"/>
          <w:szCs w:val="28"/>
          <w:lang w:val="en-GB"/>
        </w:rPr>
      </w:pPr>
      <w:r w:rsidRPr="007B6468">
        <w:rPr>
          <w:rFonts w:ascii="Arial" w:hAnsi="Arial" w:cs="Arial"/>
          <w:sz w:val="28"/>
          <w:szCs w:val="28"/>
          <w:lang w:val="en-GB"/>
        </w:rPr>
        <w:t xml:space="preserve">Legislative Decree No. (11) of 1976 Promulgating the Law Regulating Pensions and Retirement Gratuities for Officers and Personnel of the Bahrain Defence Force and Public Security, </w:t>
      </w:r>
    </w:p>
    <w:p w14:paraId="69613DEB" w14:textId="77777777" w:rsidR="00397265" w:rsidRPr="007B6468" w:rsidRDefault="00397265" w:rsidP="007B6468">
      <w:pPr>
        <w:spacing w:line="360" w:lineRule="auto"/>
        <w:jc w:val="both"/>
        <w:rPr>
          <w:rFonts w:ascii="Arial" w:hAnsi="Arial" w:cs="Arial"/>
          <w:sz w:val="28"/>
          <w:szCs w:val="28"/>
          <w:lang w:val="en-GB"/>
        </w:rPr>
      </w:pPr>
      <w:r w:rsidRPr="007B6468">
        <w:rPr>
          <w:rFonts w:ascii="Arial" w:hAnsi="Arial" w:cs="Arial"/>
          <w:sz w:val="28"/>
          <w:szCs w:val="28"/>
          <w:lang w:val="en-GB"/>
        </w:rPr>
        <w:t>The Social Insurance Law promulgated by Legislative Decree No. (24) of 1976, as amended,</w:t>
      </w:r>
    </w:p>
    <w:p w14:paraId="52914AFF" w14:textId="77777777" w:rsidR="00397265" w:rsidRPr="007B6468" w:rsidRDefault="00397265" w:rsidP="007B6468">
      <w:pPr>
        <w:spacing w:line="360" w:lineRule="auto"/>
        <w:jc w:val="both"/>
        <w:rPr>
          <w:rFonts w:ascii="Arial" w:hAnsi="Arial" w:cs="Arial"/>
          <w:sz w:val="28"/>
          <w:szCs w:val="28"/>
          <w:lang w:val="en-GB"/>
        </w:rPr>
      </w:pPr>
      <w:r w:rsidRPr="007B6468">
        <w:rPr>
          <w:rFonts w:ascii="Arial" w:hAnsi="Arial" w:cs="Arial"/>
          <w:sz w:val="28"/>
          <w:szCs w:val="28"/>
          <w:lang w:val="en-GB"/>
        </w:rPr>
        <w:t>Law No. (3) of 2008 regarding the Social Insurance Organisation,</w:t>
      </w:r>
    </w:p>
    <w:p w14:paraId="2AF6ECB5" w14:textId="77777777" w:rsidR="00397265" w:rsidRPr="007B6468" w:rsidRDefault="00397265" w:rsidP="007B6468">
      <w:pPr>
        <w:spacing w:line="360" w:lineRule="auto"/>
        <w:jc w:val="both"/>
        <w:rPr>
          <w:rFonts w:ascii="Arial" w:hAnsi="Arial" w:cs="Arial"/>
          <w:sz w:val="28"/>
          <w:szCs w:val="28"/>
          <w:lang w:val="en-GB"/>
        </w:rPr>
      </w:pPr>
      <w:r w:rsidRPr="007B6468">
        <w:rPr>
          <w:rFonts w:ascii="Arial" w:hAnsi="Arial" w:cs="Arial"/>
          <w:sz w:val="28"/>
          <w:szCs w:val="28"/>
          <w:lang w:val="en-GB"/>
        </w:rPr>
        <w:t>The National Guard Law promulgated by Legislative Decree No. (20) of 2000,</w:t>
      </w:r>
    </w:p>
    <w:p w14:paraId="5DE3ADF3" w14:textId="77777777" w:rsidR="00397265" w:rsidRPr="007B6468" w:rsidRDefault="00397265" w:rsidP="007B6468">
      <w:pPr>
        <w:spacing w:line="360" w:lineRule="auto"/>
        <w:jc w:val="both"/>
        <w:rPr>
          <w:rFonts w:ascii="Arial" w:hAnsi="Arial" w:cs="Arial"/>
          <w:sz w:val="28"/>
          <w:szCs w:val="28"/>
          <w:lang w:val="en-GB"/>
        </w:rPr>
      </w:pPr>
      <w:r w:rsidRPr="007B6468">
        <w:rPr>
          <w:rFonts w:ascii="Arial" w:hAnsi="Arial" w:cs="Arial"/>
          <w:sz w:val="28"/>
          <w:szCs w:val="28"/>
          <w:lang w:val="en-GB"/>
        </w:rPr>
        <w:t>And Legislative Decree No. (14) of 2002 Establishing the National Security Agency,</w:t>
      </w:r>
    </w:p>
    <w:p w14:paraId="02952716" w14:textId="77777777" w:rsidR="00397265" w:rsidRPr="007B6468" w:rsidRDefault="00397265" w:rsidP="007B6468">
      <w:pPr>
        <w:spacing w:line="360" w:lineRule="auto"/>
        <w:jc w:val="both"/>
        <w:rPr>
          <w:rFonts w:ascii="Arial" w:hAnsi="Arial" w:cs="Arial"/>
          <w:sz w:val="28"/>
          <w:szCs w:val="28"/>
          <w:lang w:val="en-GB"/>
        </w:rPr>
      </w:pPr>
      <w:r w:rsidRPr="007B6468">
        <w:rPr>
          <w:rFonts w:ascii="Arial" w:hAnsi="Arial" w:cs="Arial"/>
          <w:sz w:val="28"/>
          <w:szCs w:val="28"/>
          <w:lang w:val="en-GB"/>
        </w:rPr>
        <w:t>The Shura Council and the Council of Representatives have approved the following Law, which we have ratified and enacted:</w:t>
      </w:r>
    </w:p>
    <w:p w14:paraId="2F09285F" w14:textId="77777777" w:rsidR="00397265" w:rsidRPr="007B6468" w:rsidRDefault="00397265" w:rsidP="007B6468">
      <w:pPr>
        <w:spacing w:line="360" w:lineRule="auto"/>
        <w:jc w:val="both"/>
        <w:rPr>
          <w:rFonts w:ascii="Arial" w:hAnsi="Arial" w:cs="Arial"/>
          <w:sz w:val="28"/>
          <w:szCs w:val="28"/>
          <w:lang w:val="en-GB"/>
        </w:rPr>
      </w:pPr>
      <w:r w:rsidRPr="007B6468">
        <w:rPr>
          <w:rFonts w:ascii="Arial" w:hAnsi="Arial" w:cs="Arial"/>
          <w:sz w:val="28"/>
          <w:szCs w:val="28"/>
          <w:lang w:val="en-GB"/>
        </w:rPr>
        <w:t>Article One</w:t>
      </w:r>
    </w:p>
    <w:p w14:paraId="0D5E92E4" w14:textId="77777777" w:rsidR="00397265" w:rsidRPr="007B6468" w:rsidRDefault="00397265" w:rsidP="007B6468">
      <w:pPr>
        <w:spacing w:line="360" w:lineRule="auto"/>
        <w:jc w:val="both"/>
        <w:rPr>
          <w:rFonts w:ascii="Arial" w:hAnsi="Arial" w:cs="Arial"/>
          <w:sz w:val="28"/>
          <w:szCs w:val="28"/>
          <w:lang w:val="en-GB"/>
        </w:rPr>
      </w:pPr>
      <w:r w:rsidRPr="007B6468">
        <w:rPr>
          <w:rFonts w:ascii="Arial" w:hAnsi="Arial" w:cs="Arial"/>
          <w:sz w:val="28"/>
          <w:szCs w:val="28"/>
          <w:lang w:val="en-GB"/>
        </w:rPr>
        <w:t>A new Article numbered (11 bis), shall be added to Legislative Decree No. (11) of 1976 Promulgating the Law Regulating Pensions and Retirement Gratuities for Officers and Personnel of the Bahrain Defence Force, and Public Security, which shall read as follows:</w:t>
      </w:r>
    </w:p>
    <w:p w14:paraId="0035FF29" w14:textId="77777777" w:rsidR="00397265" w:rsidRPr="007B6468" w:rsidRDefault="00397265" w:rsidP="007B6468">
      <w:pPr>
        <w:spacing w:line="360" w:lineRule="auto"/>
        <w:jc w:val="both"/>
        <w:rPr>
          <w:rFonts w:ascii="Arial" w:hAnsi="Arial" w:cs="Arial"/>
          <w:sz w:val="28"/>
          <w:szCs w:val="28"/>
          <w:lang w:val="en-GB"/>
        </w:rPr>
      </w:pPr>
      <w:r w:rsidRPr="007B6468">
        <w:rPr>
          <w:rFonts w:ascii="Arial" w:hAnsi="Arial" w:cs="Arial"/>
          <w:sz w:val="28"/>
          <w:szCs w:val="28"/>
        </w:rPr>
        <w:lastRenderedPageBreak/>
        <w:t xml:space="preserve">“It shall be permissible for officers and personnel of the Bahrain </w:t>
      </w:r>
      <w:proofErr w:type="spellStart"/>
      <w:r w:rsidRPr="007B6468">
        <w:rPr>
          <w:rFonts w:ascii="Arial" w:hAnsi="Arial" w:cs="Arial"/>
          <w:sz w:val="28"/>
          <w:szCs w:val="28"/>
        </w:rPr>
        <w:t>Defence</w:t>
      </w:r>
      <w:proofErr w:type="spellEnd"/>
      <w:r w:rsidRPr="007B6468">
        <w:rPr>
          <w:rFonts w:ascii="Arial" w:hAnsi="Arial" w:cs="Arial"/>
          <w:sz w:val="28"/>
          <w:szCs w:val="28"/>
        </w:rPr>
        <w:t xml:space="preserve"> Force, the Public Security, the National Guard, and the National Security Agency, who are subject to the provisions of Article (2) of this Law, to integrate their prior service in the private sector with their current service, provided they have not previously qualified for a retirement pension for that service. This is subject to the full payment of the contributions stipulated in Article (12) of this Law, based on the salary at the time of the integration request. Payment may be made either as a lump sum or in monthly instalments in accordance with the schedule appended </w:t>
      </w:r>
      <w:proofErr w:type="gramStart"/>
      <w:r w:rsidRPr="007B6468">
        <w:rPr>
          <w:rFonts w:ascii="Arial" w:hAnsi="Arial" w:cs="Arial"/>
          <w:sz w:val="28"/>
          <w:szCs w:val="28"/>
        </w:rPr>
        <w:t>to</w:t>
      </w:r>
      <w:proofErr w:type="gramEnd"/>
      <w:r w:rsidRPr="007B6468">
        <w:rPr>
          <w:rFonts w:ascii="Arial" w:hAnsi="Arial" w:cs="Arial"/>
          <w:sz w:val="28"/>
          <w:szCs w:val="28"/>
        </w:rPr>
        <w:t xml:space="preserve"> the law, specifying the monthly instalment for </w:t>
      </w:r>
      <w:proofErr w:type="gramStart"/>
      <w:r w:rsidRPr="007B6468">
        <w:rPr>
          <w:rFonts w:ascii="Arial" w:hAnsi="Arial" w:cs="Arial"/>
          <w:sz w:val="28"/>
          <w:szCs w:val="28"/>
        </w:rPr>
        <w:t>every one</w:t>
      </w:r>
      <w:proofErr w:type="gramEnd"/>
      <w:r w:rsidRPr="007B6468">
        <w:rPr>
          <w:rFonts w:ascii="Arial" w:hAnsi="Arial" w:cs="Arial"/>
          <w:sz w:val="28"/>
          <w:szCs w:val="28"/>
        </w:rPr>
        <w:t xml:space="preserve"> hundred dinars of the amount financed. The integration of service shall be calculated at the rate of one year of service for each year and a quarter of service in the private sector.”</w:t>
      </w:r>
    </w:p>
    <w:p w14:paraId="328A8291" w14:textId="77777777" w:rsidR="00397265" w:rsidRPr="007B6468" w:rsidRDefault="00397265" w:rsidP="007B6468">
      <w:pPr>
        <w:spacing w:line="360" w:lineRule="auto"/>
        <w:jc w:val="both"/>
        <w:rPr>
          <w:rFonts w:ascii="Arial" w:hAnsi="Arial" w:cs="Arial"/>
          <w:sz w:val="28"/>
          <w:szCs w:val="28"/>
          <w:lang w:val="en-GB"/>
        </w:rPr>
      </w:pPr>
      <w:r w:rsidRPr="007B6468">
        <w:rPr>
          <w:rFonts w:ascii="Arial" w:hAnsi="Arial" w:cs="Arial"/>
          <w:sz w:val="28"/>
          <w:szCs w:val="28"/>
          <w:lang w:val="en-GB"/>
        </w:rPr>
        <w:t>Article Two</w:t>
      </w:r>
    </w:p>
    <w:p w14:paraId="06BFB0C6" w14:textId="77777777" w:rsidR="00397265" w:rsidRPr="007B6468" w:rsidRDefault="00397265" w:rsidP="007B6468">
      <w:pPr>
        <w:spacing w:line="360" w:lineRule="auto"/>
        <w:jc w:val="both"/>
        <w:rPr>
          <w:rFonts w:ascii="Arial" w:hAnsi="Arial" w:cs="Arial"/>
          <w:sz w:val="28"/>
          <w:szCs w:val="28"/>
          <w:lang w:val="en-GB"/>
        </w:rPr>
      </w:pPr>
      <w:r w:rsidRPr="007B6468">
        <w:rPr>
          <w:rFonts w:ascii="Arial" w:hAnsi="Arial" w:cs="Arial"/>
          <w:sz w:val="28"/>
          <w:szCs w:val="28"/>
          <w:lang w:val="en-GB"/>
        </w:rPr>
        <w:t>The Minister of Finance shall issue the necessary decisions to determine the permissible periods for integration and to regulate the integration procedures.</w:t>
      </w:r>
    </w:p>
    <w:p w14:paraId="02ED515C" w14:textId="77777777" w:rsidR="00397265" w:rsidRPr="007B6468" w:rsidRDefault="00397265" w:rsidP="007B6468">
      <w:pPr>
        <w:spacing w:line="360" w:lineRule="auto"/>
        <w:jc w:val="both"/>
        <w:rPr>
          <w:rFonts w:ascii="Arial" w:hAnsi="Arial" w:cs="Arial"/>
          <w:sz w:val="28"/>
          <w:szCs w:val="28"/>
          <w:lang w:val="en-GB"/>
        </w:rPr>
      </w:pPr>
      <w:r w:rsidRPr="007B6468">
        <w:rPr>
          <w:rFonts w:ascii="Arial" w:hAnsi="Arial" w:cs="Arial"/>
          <w:sz w:val="28"/>
          <w:szCs w:val="28"/>
          <w:lang w:val="en-GB"/>
        </w:rPr>
        <w:t>Article Three</w:t>
      </w:r>
    </w:p>
    <w:p w14:paraId="6556D717" w14:textId="77777777" w:rsidR="00397265" w:rsidRPr="007B6468" w:rsidRDefault="00397265" w:rsidP="007B6468">
      <w:pPr>
        <w:spacing w:line="360" w:lineRule="auto"/>
        <w:jc w:val="both"/>
        <w:rPr>
          <w:rFonts w:ascii="Arial" w:hAnsi="Arial" w:cs="Arial"/>
          <w:sz w:val="28"/>
          <w:szCs w:val="28"/>
          <w:lang w:val="en-GB"/>
        </w:rPr>
      </w:pPr>
      <w:r w:rsidRPr="007B6468">
        <w:rPr>
          <w:rFonts w:ascii="Arial" w:hAnsi="Arial" w:cs="Arial"/>
          <w:sz w:val="28"/>
          <w:szCs w:val="28"/>
          <w:lang w:val="en-GB"/>
        </w:rPr>
        <w:t>The Prime Minister and the Ministers—each within their jurisdiction—shall implement this Law, and it shall come into force from the day following the date of its publication in the Official Gazette.</w:t>
      </w:r>
    </w:p>
    <w:p w14:paraId="4F866EB0" w14:textId="77777777" w:rsidR="00397265" w:rsidRPr="007B6468" w:rsidRDefault="00397265" w:rsidP="007B6468">
      <w:pPr>
        <w:spacing w:line="360" w:lineRule="auto"/>
        <w:jc w:val="both"/>
        <w:rPr>
          <w:rFonts w:ascii="Arial" w:hAnsi="Arial" w:cs="Arial"/>
          <w:sz w:val="28"/>
          <w:szCs w:val="28"/>
          <w:lang w:val="en-GB"/>
        </w:rPr>
      </w:pPr>
      <w:r w:rsidRPr="007B6468">
        <w:rPr>
          <w:rFonts w:ascii="Arial" w:hAnsi="Arial" w:cs="Arial"/>
          <w:sz w:val="28"/>
          <w:szCs w:val="28"/>
          <w:lang w:val="en-GB"/>
        </w:rPr>
        <w:t>King of the Kingdom of Bahrain</w:t>
      </w:r>
    </w:p>
    <w:p w14:paraId="735144E7" w14:textId="77777777" w:rsidR="00397265" w:rsidRPr="007B6468" w:rsidRDefault="00397265" w:rsidP="007B6468">
      <w:pPr>
        <w:spacing w:line="360" w:lineRule="auto"/>
        <w:jc w:val="both"/>
        <w:rPr>
          <w:rFonts w:ascii="Arial" w:hAnsi="Arial" w:cs="Arial"/>
          <w:sz w:val="28"/>
          <w:szCs w:val="28"/>
          <w:lang w:val="en-GB"/>
        </w:rPr>
      </w:pPr>
      <w:r w:rsidRPr="007B6468">
        <w:rPr>
          <w:rFonts w:ascii="Arial" w:hAnsi="Arial" w:cs="Arial"/>
          <w:sz w:val="28"/>
          <w:szCs w:val="28"/>
          <w:lang w:val="en-GB"/>
        </w:rPr>
        <w:t>Hamad bin Isa Al Khalifa</w:t>
      </w:r>
    </w:p>
    <w:p w14:paraId="0FCD5280" w14:textId="77777777" w:rsidR="00397265" w:rsidRPr="007B6468" w:rsidRDefault="00397265" w:rsidP="007B6468">
      <w:pPr>
        <w:spacing w:line="360" w:lineRule="auto"/>
        <w:jc w:val="both"/>
        <w:rPr>
          <w:rFonts w:ascii="Arial" w:hAnsi="Arial" w:cs="Arial"/>
          <w:sz w:val="28"/>
          <w:szCs w:val="28"/>
          <w:lang w:val="en-GB"/>
        </w:rPr>
      </w:pPr>
      <w:r w:rsidRPr="007B6468">
        <w:rPr>
          <w:rFonts w:ascii="Arial" w:hAnsi="Arial" w:cs="Arial"/>
          <w:sz w:val="28"/>
          <w:szCs w:val="28"/>
          <w:lang w:val="en-GB"/>
        </w:rPr>
        <w:t>Issued at Riffa Palace:</w:t>
      </w:r>
    </w:p>
    <w:p w14:paraId="52E2A049" w14:textId="77777777" w:rsidR="00397265" w:rsidRPr="007B6468" w:rsidRDefault="00397265" w:rsidP="007B6468">
      <w:pPr>
        <w:spacing w:line="360" w:lineRule="auto"/>
        <w:jc w:val="both"/>
        <w:rPr>
          <w:rFonts w:ascii="Arial" w:hAnsi="Arial" w:cs="Arial"/>
          <w:sz w:val="28"/>
          <w:szCs w:val="28"/>
          <w:lang w:val="en-GB"/>
        </w:rPr>
      </w:pPr>
      <w:r w:rsidRPr="007B6468">
        <w:rPr>
          <w:rFonts w:ascii="Arial" w:hAnsi="Arial" w:cs="Arial"/>
          <w:sz w:val="28"/>
          <w:szCs w:val="28"/>
          <w:lang w:val="en-GB"/>
        </w:rPr>
        <w:lastRenderedPageBreak/>
        <w:t>On:</w:t>
      </w:r>
    </w:p>
    <w:p w14:paraId="5B2BFBAA" w14:textId="77777777" w:rsidR="00397265" w:rsidRPr="007B6468" w:rsidRDefault="00397265" w:rsidP="007B6468">
      <w:pPr>
        <w:spacing w:line="360" w:lineRule="auto"/>
        <w:jc w:val="both"/>
        <w:rPr>
          <w:rFonts w:ascii="Arial" w:hAnsi="Arial" w:cs="Arial"/>
          <w:sz w:val="28"/>
          <w:szCs w:val="28"/>
          <w:lang w:val="en-GB"/>
        </w:rPr>
      </w:pPr>
      <w:r w:rsidRPr="007B6468">
        <w:rPr>
          <w:rFonts w:ascii="Arial" w:hAnsi="Arial" w:cs="Arial"/>
          <w:sz w:val="28"/>
          <w:szCs w:val="28"/>
          <w:lang w:val="en-GB"/>
        </w:rPr>
        <w:t>5 Dhu al-Hijjah 1430 AH</w:t>
      </w:r>
    </w:p>
    <w:p w14:paraId="41629F38" w14:textId="77777777" w:rsidR="00397265" w:rsidRPr="007B6468" w:rsidRDefault="00397265" w:rsidP="007B6468">
      <w:pPr>
        <w:spacing w:line="360" w:lineRule="auto"/>
        <w:jc w:val="both"/>
        <w:rPr>
          <w:rFonts w:ascii="Arial" w:hAnsi="Arial" w:cs="Arial"/>
          <w:sz w:val="28"/>
          <w:szCs w:val="28"/>
          <w:lang w:val="en-GB"/>
        </w:rPr>
      </w:pPr>
      <w:r w:rsidRPr="007B6468">
        <w:rPr>
          <w:rFonts w:ascii="Arial" w:hAnsi="Arial" w:cs="Arial"/>
          <w:sz w:val="28"/>
          <w:szCs w:val="28"/>
          <w:lang w:val="en-GB"/>
        </w:rPr>
        <w:t>Corresponding to:</w:t>
      </w:r>
    </w:p>
    <w:p w14:paraId="7F8307D9" w14:textId="77777777" w:rsidR="00397265" w:rsidRPr="007B6468" w:rsidRDefault="00397265" w:rsidP="007B6468">
      <w:pPr>
        <w:spacing w:line="360" w:lineRule="auto"/>
        <w:jc w:val="both"/>
        <w:rPr>
          <w:rFonts w:ascii="Arial" w:hAnsi="Arial" w:cs="Arial"/>
          <w:sz w:val="28"/>
          <w:szCs w:val="28"/>
          <w:lang w:val="en-GB"/>
        </w:rPr>
      </w:pPr>
      <w:r w:rsidRPr="007B6468">
        <w:rPr>
          <w:rFonts w:ascii="Arial" w:hAnsi="Arial" w:cs="Arial"/>
          <w:sz w:val="28"/>
          <w:szCs w:val="28"/>
          <w:lang w:val="en-GB"/>
        </w:rPr>
        <w:t>22 November 2009</w:t>
      </w:r>
    </w:p>
    <w:p w14:paraId="5F79A877" w14:textId="77777777" w:rsidR="00DF0017" w:rsidRPr="007B6468" w:rsidRDefault="00DF0017" w:rsidP="007B6468">
      <w:pPr>
        <w:spacing w:line="360" w:lineRule="auto"/>
        <w:rPr>
          <w:rFonts w:ascii="Arial" w:hAnsi="Arial" w:cs="Arial"/>
          <w:sz w:val="28"/>
          <w:szCs w:val="28"/>
        </w:rPr>
      </w:pPr>
    </w:p>
    <w:sectPr w:rsidR="00DF0017" w:rsidRPr="007B6468" w:rsidSect="007B646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839E6" w14:textId="77777777" w:rsidR="003239E0" w:rsidRDefault="003239E0" w:rsidP="00FF1ED1">
      <w:pPr>
        <w:spacing w:after="0" w:line="240" w:lineRule="auto"/>
      </w:pPr>
      <w:r>
        <w:separator/>
      </w:r>
    </w:p>
  </w:endnote>
  <w:endnote w:type="continuationSeparator" w:id="0">
    <w:p w14:paraId="2D3D9BD4" w14:textId="77777777" w:rsidR="003239E0" w:rsidRDefault="003239E0" w:rsidP="00FF1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36226" w14:textId="77777777" w:rsidR="00FF1ED1" w:rsidRDefault="00FF1E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D2B58" w14:textId="77777777" w:rsidR="00FF1ED1" w:rsidRDefault="00FF1E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08E1E" w14:textId="77777777" w:rsidR="00FF1ED1" w:rsidRDefault="00FF1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6642F" w14:textId="77777777" w:rsidR="003239E0" w:rsidRDefault="003239E0" w:rsidP="00FF1ED1">
      <w:pPr>
        <w:spacing w:after="0" w:line="240" w:lineRule="auto"/>
      </w:pPr>
      <w:r>
        <w:separator/>
      </w:r>
    </w:p>
  </w:footnote>
  <w:footnote w:type="continuationSeparator" w:id="0">
    <w:p w14:paraId="0D64AC9A" w14:textId="77777777" w:rsidR="003239E0" w:rsidRDefault="003239E0" w:rsidP="00FF1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7D5D4" w14:textId="77777777" w:rsidR="00FF1ED1" w:rsidRDefault="00FF1E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B85A5" w14:textId="7AF3815E" w:rsidR="00FF1ED1" w:rsidRDefault="00FF1E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63D13" w14:textId="77777777" w:rsidR="00FF1ED1" w:rsidRDefault="00FF1E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97F"/>
    <w:rsid w:val="00192114"/>
    <w:rsid w:val="002858A7"/>
    <w:rsid w:val="003048C8"/>
    <w:rsid w:val="003239E0"/>
    <w:rsid w:val="0032693F"/>
    <w:rsid w:val="00387153"/>
    <w:rsid w:val="00397265"/>
    <w:rsid w:val="0043297E"/>
    <w:rsid w:val="005E2BF4"/>
    <w:rsid w:val="00736BE2"/>
    <w:rsid w:val="007B6468"/>
    <w:rsid w:val="009529D4"/>
    <w:rsid w:val="00A773CD"/>
    <w:rsid w:val="00CB5DD1"/>
    <w:rsid w:val="00CF297F"/>
    <w:rsid w:val="00D02296"/>
    <w:rsid w:val="00DF0017"/>
    <w:rsid w:val="00F70793"/>
    <w:rsid w:val="00FF1E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E94F7"/>
  <w15:docId w15:val="{6923017C-1B38-433A-95E9-F34029CD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FF1ED1"/>
    <w:pPr>
      <w:spacing w:after="0" w:line="240" w:lineRule="auto"/>
    </w:pPr>
  </w:style>
  <w:style w:type="paragraph" w:styleId="Header">
    <w:name w:val="header"/>
    <w:basedOn w:val="Normal"/>
    <w:link w:val="HeaderChar"/>
    <w:uiPriority w:val="99"/>
    <w:unhideWhenUsed/>
    <w:rsid w:val="00FF1E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ED1"/>
  </w:style>
  <w:style w:type="paragraph" w:styleId="Footer">
    <w:name w:val="footer"/>
    <w:basedOn w:val="Normal"/>
    <w:link w:val="FooterChar"/>
    <w:uiPriority w:val="99"/>
    <w:unhideWhenUsed/>
    <w:rsid w:val="00FF1E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ED1"/>
  </w:style>
  <w:style w:type="character" w:styleId="CommentReference">
    <w:name w:val="annotation reference"/>
    <w:basedOn w:val="DefaultParagraphFont"/>
    <w:uiPriority w:val="99"/>
    <w:semiHidden/>
    <w:unhideWhenUsed/>
    <w:rsid w:val="00192114"/>
    <w:rPr>
      <w:sz w:val="16"/>
      <w:szCs w:val="16"/>
    </w:rPr>
  </w:style>
  <w:style w:type="paragraph" w:styleId="CommentText">
    <w:name w:val="annotation text"/>
    <w:basedOn w:val="Normal"/>
    <w:link w:val="CommentTextChar"/>
    <w:uiPriority w:val="99"/>
    <w:semiHidden/>
    <w:unhideWhenUsed/>
    <w:rsid w:val="00192114"/>
    <w:pPr>
      <w:spacing w:line="240" w:lineRule="auto"/>
    </w:pPr>
    <w:rPr>
      <w:sz w:val="20"/>
      <w:szCs w:val="20"/>
    </w:rPr>
  </w:style>
  <w:style w:type="character" w:customStyle="1" w:styleId="CommentTextChar">
    <w:name w:val="Comment Text Char"/>
    <w:basedOn w:val="DefaultParagraphFont"/>
    <w:link w:val="CommentText"/>
    <w:uiPriority w:val="99"/>
    <w:semiHidden/>
    <w:rsid w:val="00192114"/>
    <w:rPr>
      <w:sz w:val="20"/>
      <w:szCs w:val="20"/>
    </w:rPr>
  </w:style>
  <w:style w:type="paragraph" w:styleId="CommentSubject">
    <w:name w:val="annotation subject"/>
    <w:basedOn w:val="CommentText"/>
    <w:next w:val="CommentText"/>
    <w:link w:val="CommentSubjectChar"/>
    <w:uiPriority w:val="99"/>
    <w:semiHidden/>
    <w:unhideWhenUsed/>
    <w:rsid w:val="00192114"/>
    <w:rPr>
      <w:b/>
      <w:bCs/>
    </w:rPr>
  </w:style>
  <w:style w:type="character" w:customStyle="1" w:styleId="CommentSubjectChar">
    <w:name w:val="Comment Subject Char"/>
    <w:basedOn w:val="CommentTextChar"/>
    <w:link w:val="CommentSubject"/>
    <w:uiPriority w:val="99"/>
    <w:semiHidden/>
    <w:rsid w:val="00192114"/>
    <w:rPr>
      <w:b/>
      <w:bCs/>
      <w:sz w:val="20"/>
      <w:szCs w:val="20"/>
    </w:rPr>
  </w:style>
  <w:style w:type="paragraph" w:styleId="BalloonText">
    <w:name w:val="Balloon Text"/>
    <w:basedOn w:val="Normal"/>
    <w:link w:val="BalloonTextChar"/>
    <w:uiPriority w:val="99"/>
    <w:semiHidden/>
    <w:unhideWhenUsed/>
    <w:rsid w:val="00192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1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d7e2019b-4659-4154-8931-7165a66ce0c7_1" sourcehash="-203501467" targethash="-1323234302"/>
  <segment id="f1fd1bf2-94d1-438a-b904-06657312eded_2" sourcehash="891971302" targethash="891971302"/>
  <segment id="69eca525-f892-4c7a-a12f-b7b79b2b2ba9_3" sourcehash="891971301" targethash="891971301"/>
  <segment id="8186db2b-13a9-4c50-b20b-da4ccdd12b9f_4" sourcehash="891971300" targethash="891971300"/>
  <segment id="ee0865bd-ee9a-4c86-a28a-ef6e02fa3e01_5" sourcehash="-582146679" targethash="-275338385"/>
  <segment id="d22b2808-84c2-4b16-bcb0-1a869de8b627_6" sourcehash="338369300" targethash="-1423140074"/>
  <segment id="5b0074b7-3da3-4d99-910c-b8e086df9720_7" sourcehash="639123075" targethash="1503522509"/>
  <segment id="29d6c05b-8b43-400a-b9e8-fcf3e07f2a56_8" sourcehash="1697791695" targethash="1750680064"/>
  <segment id="4e419681-cc3d-4cbc-9ea1-374872a9d91d_9" sourcehash="394340210" targethash="-1750994636"/>
  <segment id="d8c917e8-f091-4f70-8b65-a0e4f231442e_10" sourcehash="1047112394" targethash="-2001955515"/>
  <segment id="59d51e15-d590-4064-86d5-3ad17c8e96b6_11" sourcehash="-1167887952" targethash="595564472"/>
  <segment id="9aad8e94-52e3-425e-8fa4-3abd92b2aa87_12" sourcehash="1954786259" targethash="784147479"/>
  <segment id="972adde1-78db-4fd7-941a-a242967e563a_13" sourcehash="-392855455" targethash="-422938823"/>
  <segment id="db7c0ee3-e71d-4970-a208-c83fba535b93_14" sourcehash="-822281022" targethash="1156790789"/>
  <segment id="52ad44a1-2e51-48a2-9311-d36091246e89_15" sourcehash="1764586011" targethash="627958969"/>
  <segment id="02771213-6508-4eb6-ae92-695a2e2bb992_16" sourcehash="894723815" targethash="894723815"/>
  <segment id="4ac7deed-80ff-4ee4-91ac-a7601775f4f9_17" sourcehash="1115003347" targethash="629707820"/>
  <segment id="5def80a1-77b0-496a-bad7-24c614b5f8ef_18" sourcehash="887959876" targethash="511962729"/>
  <segment id="2edcee41-05f5-4a46-b5c4-eac19926bcfe_19" sourcehash="1985920719" targethash="1429477822"/>
  <segment id="ffb43021-82bc-48e5-bf63-0487d01890fd_20" sourcehash="-1722810267" targethash="1460183143"/>
  <segment id="af5f5014-ba7e-4afb-824e-b16119ac0df0_21" sourcehash="-1215242408" targethash="-728123458"/>
  <segment id="c7762dbf-d533-4363-a429-5ac56300d068_22" sourcehash="508597653" targethash="-585117979"/>
  <segment id="26e314ad-2d28-4f36-a9db-002a7dedcb62_23" sourcehash="-1978807634" targethash="1372375453"/>
  <segment id="c0acd70f-cd64-43ee-abeb-98bdd14aeef3_24" sourcehash="11502729" targethash="-1411101829"/>
  <segment id="c0acd70f-cd64-43ee-abeb-98bdd14aeef3_25" sourcehash="1192183134" targethash="2097501268"/>
  <segment id="1e013ad8-d6ae-4dce-824d-6efb7506629c_26" sourcehash="993614151" targethash="1866706498"/>
  <segment id="1e013ad8-d6ae-4dce-824d-6efb7506629c_27" sourcehash="-1529043443" targethash="291147469"/>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4</cp:revision>
  <dcterms:created xsi:type="dcterms:W3CDTF">2025-03-09T07:45:00Z</dcterms:created>
  <dcterms:modified xsi:type="dcterms:W3CDTF">2025-05-08T06:18:00Z</dcterms:modified>
</cp:coreProperties>
</file>