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08331" w14:textId="77777777" w:rsidR="005C00B0" w:rsidRPr="005C00B0" w:rsidRDefault="005C00B0" w:rsidP="005C00B0">
      <w:pPr>
        <w:spacing w:line="360" w:lineRule="auto"/>
        <w:rPr>
          <w:rFonts w:ascii="Arial" w:hAnsi="Arial" w:cs="Arial"/>
          <w:b/>
          <w:bCs/>
          <w:sz w:val="28"/>
          <w:szCs w:val="28"/>
          <w:lang w:val="en-GB"/>
        </w:rPr>
      </w:pPr>
      <w:r w:rsidRPr="005C00B0">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0E78DA0" w14:textId="77777777" w:rsidR="005C00B0" w:rsidRPr="005C00B0" w:rsidRDefault="005C00B0" w:rsidP="005C00B0">
      <w:pPr>
        <w:spacing w:line="360" w:lineRule="auto"/>
        <w:rPr>
          <w:rFonts w:ascii="Arial" w:hAnsi="Arial" w:cs="Arial"/>
          <w:b/>
          <w:bCs/>
          <w:sz w:val="28"/>
          <w:szCs w:val="28"/>
          <w:lang w:val="en-GB"/>
        </w:rPr>
      </w:pPr>
      <w:r w:rsidRPr="005C00B0">
        <w:rPr>
          <w:rFonts w:ascii="Arial" w:hAnsi="Arial" w:cs="Arial"/>
          <w:b/>
          <w:bCs/>
          <w:sz w:val="28"/>
          <w:szCs w:val="28"/>
          <w:lang w:val="en-GB"/>
        </w:rPr>
        <w:t>For any corrections, remarks, or suggestions, kindly contact us on translate@lloc.gov.bh</w:t>
      </w:r>
    </w:p>
    <w:p w14:paraId="2220596A" w14:textId="4E30F104" w:rsidR="005C00B0" w:rsidRPr="005C00B0" w:rsidRDefault="005C00B0" w:rsidP="005C00B0">
      <w:pPr>
        <w:spacing w:line="360" w:lineRule="auto"/>
        <w:rPr>
          <w:rFonts w:ascii="Arial" w:hAnsi="Arial" w:cs="Arial"/>
          <w:b/>
          <w:bCs/>
          <w:sz w:val="28"/>
          <w:szCs w:val="28"/>
          <w:lang w:val="en-GB"/>
        </w:rPr>
      </w:pPr>
      <w:r w:rsidRPr="005C00B0">
        <w:rPr>
          <w:rFonts w:ascii="Arial" w:hAnsi="Arial" w:cs="Arial"/>
          <w:b/>
          <w:bCs/>
          <w:sz w:val="28"/>
          <w:szCs w:val="28"/>
          <w:lang w:val="en-GB"/>
        </w:rPr>
        <w:t>Published on the website on April 2025</w:t>
      </w:r>
      <w:r w:rsidRPr="005C00B0">
        <w:rPr>
          <w:rFonts w:ascii="Arial" w:hAnsi="Arial" w:cs="Arial"/>
          <w:b/>
          <w:bCs/>
          <w:sz w:val="28"/>
          <w:szCs w:val="28"/>
          <w:lang w:val="en-GB"/>
        </w:rPr>
        <w:br w:type="page"/>
      </w:r>
    </w:p>
    <w:p w14:paraId="3F24058D" w14:textId="37285A63" w:rsidR="00EC269B" w:rsidRPr="005C00B0" w:rsidRDefault="00EC269B" w:rsidP="00C71A19">
      <w:pPr>
        <w:spacing w:line="360" w:lineRule="auto"/>
        <w:jc w:val="center"/>
        <w:rPr>
          <w:rFonts w:ascii="Arial" w:hAnsi="Arial" w:cs="Arial"/>
          <w:b/>
          <w:bCs/>
          <w:sz w:val="28"/>
          <w:szCs w:val="28"/>
          <w:lang w:val="en-GB"/>
        </w:rPr>
      </w:pPr>
      <w:r w:rsidRPr="005C00B0">
        <w:rPr>
          <w:rFonts w:ascii="Arial" w:hAnsi="Arial" w:cs="Arial"/>
          <w:b/>
          <w:bCs/>
          <w:sz w:val="28"/>
          <w:szCs w:val="28"/>
          <w:lang w:val="en-GB"/>
        </w:rPr>
        <w:lastRenderedPageBreak/>
        <w:t>Law No. (33) of 2009 Amending Certain Provisions of Law No. (34) of 2005 Establishing the Alimony Fund</w:t>
      </w:r>
    </w:p>
    <w:p w14:paraId="63F5C52B"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We, Hamad bin Isa Al Khalifa, King of the Kingdom of Bahrain.</w:t>
      </w:r>
    </w:p>
    <w:p w14:paraId="6699DF61"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Having reviewed the Constitution,</w:t>
      </w:r>
    </w:p>
    <w:p w14:paraId="381B877F"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Civil and Commercial Procedures Law promulgated by Legislative Decree No. (12) of 1971, as amended,</w:t>
      </w:r>
    </w:p>
    <w:p w14:paraId="1329E543"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And Law No. (34) of 2005 Establishing the Alimony Fund,</w:t>
      </w:r>
    </w:p>
    <w:p w14:paraId="494CF1D0"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The Shura Council and the Council of Representatives have approved the following Law, which we have ratified and enacted:</w:t>
      </w:r>
    </w:p>
    <w:p w14:paraId="27E5946D"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Article One</w:t>
      </w:r>
    </w:p>
    <w:p w14:paraId="2D7BE799"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The texts of Articles (4) and (9) of Law No. (34) of 2005 Establishing the Alimony Fund shall be replaced with the following texts:</w:t>
      </w:r>
    </w:p>
    <w:p w14:paraId="0570B5CC"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Article (4)</w:t>
      </w:r>
    </w:p>
    <w:p w14:paraId="4FFB0516"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 xml:space="preserve">Beneficiaries with judgments granting alimony may submit a request to the Fund for the amounts awarded, provided that the request is accompanied by the alimony ruling and proof of notification in accordance with the provisions of the Civil and Commercial Procedures Law, as well as a certificate of non-implementation by the debtor. The Fund shall disburse the alimony amounts to the entitled beneficiaries within a period not exceeding fifteen days from the date of the request, </w:t>
      </w:r>
      <w:proofErr w:type="gramStart"/>
      <w:r w:rsidRPr="005C00B0">
        <w:rPr>
          <w:rFonts w:ascii="Arial" w:hAnsi="Arial" w:cs="Arial"/>
          <w:sz w:val="28"/>
          <w:szCs w:val="28"/>
          <w:lang w:val="en-GB"/>
        </w:rPr>
        <w:t>provided that</w:t>
      </w:r>
      <w:proofErr w:type="gramEnd"/>
      <w:r w:rsidRPr="005C00B0">
        <w:rPr>
          <w:rFonts w:ascii="Arial" w:hAnsi="Arial" w:cs="Arial"/>
          <w:sz w:val="28"/>
          <w:szCs w:val="28"/>
          <w:lang w:val="en-GB"/>
        </w:rPr>
        <w:t xml:space="preserve"> it meets the legal requirements. </w:t>
      </w:r>
      <w:r w:rsidRPr="005C00B0">
        <w:rPr>
          <w:rFonts w:ascii="Arial" w:hAnsi="Arial" w:cs="Arial"/>
          <w:sz w:val="28"/>
          <w:szCs w:val="28"/>
        </w:rPr>
        <w:t>The alimony shall continue to be paid monthly unless the ruling is amended or annulled.</w:t>
      </w:r>
      <w:r w:rsidRPr="005C00B0">
        <w:rPr>
          <w:rFonts w:ascii="Arial" w:hAnsi="Arial" w:cs="Arial"/>
          <w:sz w:val="28"/>
          <w:szCs w:val="28"/>
          <w:lang w:val="en-GB"/>
        </w:rPr>
        <w:t xml:space="preserve"> Beneficiaries are obliged to update their information with the Fund annually.</w:t>
      </w:r>
    </w:p>
    <w:p w14:paraId="6BFEFCC0"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lastRenderedPageBreak/>
        <w:t>Article (9)</w:t>
      </w:r>
    </w:p>
    <w:p w14:paraId="303330D6"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The resources of the Fund shall consist of the following:</w:t>
      </w:r>
    </w:p>
    <w:p w14:paraId="36E5488D"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1- The amounts allocated to the Fund in the general budget.</w:t>
      </w:r>
    </w:p>
    <w:p w14:paraId="151D15A7"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2- Alimony amounts collected from those ordered to pay.</w:t>
      </w:r>
    </w:p>
    <w:p w14:paraId="17D465A3"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 xml:space="preserve">3- Donations, grants, and bequests that the Board of Directors of the Fund decides to accept, </w:t>
      </w:r>
      <w:proofErr w:type="gramStart"/>
      <w:r w:rsidRPr="005C00B0">
        <w:rPr>
          <w:rFonts w:ascii="Arial" w:hAnsi="Arial" w:cs="Arial"/>
          <w:sz w:val="28"/>
          <w:szCs w:val="28"/>
          <w:lang w:val="en-GB"/>
        </w:rPr>
        <w:t>provided that</w:t>
      </w:r>
      <w:proofErr w:type="gramEnd"/>
      <w:r w:rsidRPr="005C00B0">
        <w:rPr>
          <w:rFonts w:ascii="Arial" w:hAnsi="Arial" w:cs="Arial"/>
          <w:sz w:val="28"/>
          <w:szCs w:val="28"/>
          <w:lang w:val="en-GB"/>
        </w:rPr>
        <w:t xml:space="preserve"> donations from foreign entities may only be accepted with the minister's approval.</w:t>
      </w:r>
    </w:p>
    <w:p w14:paraId="4A4BDA02"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4- The revenues generated from the investment of the Fund's assets.</w:t>
      </w:r>
    </w:p>
    <w:p w14:paraId="5AF7569E"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rPr>
        <w:t>The government shall be obligated to financially support the Fund to ensure its continued performance of the tasks stipulated in this Law.</w:t>
      </w:r>
    </w:p>
    <w:p w14:paraId="5DC2C7B5"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Article Two</w:t>
      </w:r>
    </w:p>
    <w:p w14:paraId="14746291"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4FF61929"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King of the Kingdom of Bahrain</w:t>
      </w:r>
    </w:p>
    <w:p w14:paraId="2F30147C"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Hamad bin Isa Al Khalifa</w:t>
      </w:r>
    </w:p>
    <w:p w14:paraId="628EA3AC"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Issued at Riffa Palace:</w:t>
      </w:r>
    </w:p>
    <w:p w14:paraId="1529FA65"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On:</w:t>
      </w:r>
    </w:p>
    <w:p w14:paraId="0677A04E"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7 Rajab 1430 AH</w:t>
      </w:r>
    </w:p>
    <w:p w14:paraId="364D78E0"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t>Corresponding to:</w:t>
      </w:r>
    </w:p>
    <w:p w14:paraId="5522E71D" w14:textId="77777777" w:rsidR="00EC269B" w:rsidRPr="005C00B0" w:rsidRDefault="00EC269B" w:rsidP="005C00B0">
      <w:pPr>
        <w:spacing w:line="360" w:lineRule="auto"/>
        <w:jc w:val="both"/>
        <w:rPr>
          <w:rFonts w:ascii="Arial" w:hAnsi="Arial" w:cs="Arial"/>
          <w:sz w:val="28"/>
          <w:szCs w:val="28"/>
          <w:lang w:val="en-GB"/>
        </w:rPr>
      </w:pPr>
      <w:r w:rsidRPr="005C00B0">
        <w:rPr>
          <w:rFonts w:ascii="Arial" w:hAnsi="Arial" w:cs="Arial"/>
          <w:sz w:val="28"/>
          <w:szCs w:val="28"/>
          <w:lang w:val="en-GB"/>
        </w:rPr>
        <w:lastRenderedPageBreak/>
        <w:t>30 June 2009</w:t>
      </w:r>
    </w:p>
    <w:p w14:paraId="336DD02E" w14:textId="77777777" w:rsidR="005A0EA0" w:rsidRPr="005C00B0" w:rsidRDefault="005A0EA0" w:rsidP="005C00B0">
      <w:pPr>
        <w:spacing w:line="360" w:lineRule="auto"/>
        <w:rPr>
          <w:rFonts w:ascii="Arial" w:hAnsi="Arial" w:cs="Arial"/>
          <w:sz w:val="28"/>
          <w:szCs w:val="28"/>
        </w:rPr>
      </w:pPr>
    </w:p>
    <w:sectPr w:rsidR="005A0EA0" w:rsidRPr="005C00B0" w:rsidSect="005C00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2F678" w14:textId="77777777" w:rsidR="00CD3375" w:rsidRDefault="00CD3375" w:rsidP="00106D8F">
      <w:pPr>
        <w:spacing w:after="0" w:line="240" w:lineRule="auto"/>
      </w:pPr>
      <w:r>
        <w:separator/>
      </w:r>
    </w:p>
  </w:endnote>
  <w:endnote w:type="continuationSeparator" w:id="0">
    <w:p w14:paraId="18CB84E2" w14:textId="77777777" w:rsidR="00CD3375" w:rsidRDefault="00CD3375" w:rsidP="0010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46A85" w14:textId="77777777" w:rsidR="00106D8F" w:rsidRDefault="00106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07E4E" w14:textId="77777777" w:rsidR="00106D8F" w:rsidRDefault="00106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9DCF1" w14:textId="77777777" w:rsidR="00106D8F" w:rsidRDefault="00106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6C029" w14:textId="77777777" w:rsidR="00CD3375" w:rsidRDefault="00CD3375" w:rsidP="00106D8F">
      <w:pPr>
        <w:spacing w:after="0" w:line="240" w:lineRule="auto"/>
      </w:pPr>
      <w:r>
        <w:separator/>
      </w:r>
    </w:p>
  </w:footnote>
  <w:footnote w:type="continuationSeparator" w:id="0">
    <w:p w14:paraId="5B7E2D68" w14:textId="77777777" w:rsidR="00CD3375" w:rsidRDefault="00CD3375" w:rsidP="00106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9C275" w14:textId="77777777" w:rsidR="00106D8F" w:rsidRDefault="00106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11716" w14:textId="0DCE362B" w:rsidR="00106D8F" w:rsidRDefault="00106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193D" w14:textId="77777777" w:rsidR="00106D8F" w:rsidRDefault="00106D8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CB"/>
    <w:rsid w:val="00060A0F"/>
    <w:rsid w:val="00106D8F"/>
    <w:rsid w:val="002F545E"/>
    <w:rsid w:val="003B1E5D"/>
    <w:rsid w:val="003B3784"/>
    <w:rsid w:val="003D40CB"/>
    <w:rsid w:val="0043297E"/>
    <w:rsid w:val="005A0EA0"/>
    <w:rsid w:val="005C00B0"/>
    <w:rsid w:val="005E0206"/>
    <w:rsid w:val="00680583"/>
    <w:rsid w:val="00707030"/>
    <w:rsid w:val="00736BE2"/>
    <w:rsid w:val="00C71A19"/>
    <w:rsid w:val="00CB5DD1"/>
    <w:rsid w:val="00CD3375"/>
    <w:rsid w:val="00DD3D7D"/>
    <w:rsid w:val="00E64CC3"/>
    <w:rsid w:val="00E9568D"/>
    <w:rsid w:val="00EB0BEC"/>
    <w:rsid w:val="00EC269B"/>
    <w:rsid w:val="00FB153C"/>
    <w:rsid w:val="00FD18B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3F849"/>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106D8F"/>
    <w:pPr>
      <w:spacing w:after="0" w:line="240" w:lineRule="auto"/>
    </w:pPr>
  </w:style>
  <w:style w:type="paragraph" w:styleId="Header">
    <w:name w:val="header"/>
    <w:basedOn w:val="Normal"/>
    <w:link w:val="HeaderChar"/>
    <w:uiPriority w:val="99"/>
    <w:unhideWhenUsed/>
    <w:rsid w:val="00106D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D8F"/>
  </w:style>
  <w:style w:type="paragraph" w:styleId="Footer">
    <w:name w:val="footer"/>
    <w:basedOn w:val="Normal"/>
    <w:link w:val="FooterChar"/>
    <w:uiPriority w:val="99"/>
    <w:unhideWhenUsed/>
    <w:rsid w:val="00106D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D8F"/>
  </w:style>
  <w:style w:type="character" w:styleId="CommentReference">
    <w:name w:val="annotation reference"/>
    <w:basedOn w:val="DefaultParagraphFont"/>
    <w:uiPriority w:val="99"/>
    <w:semiHidden/>
    <w:unhideWhenUsed/>
    <w:rsid w:val="00E64CC3"/>
    <w:rPr>
      <w:sz w:val="16"/>
      <w:szCs w:val="16"/>
    </w:rPr>
  </w:style>
  <w:style w:type="paragraph" w:styleId="CommentText">
    <w:name w:val="annotation text"/>
    <w:basedOn w:val="Normal"/>
    <w:link w:val="CommentTextChar"/>
    <w:uiPriority w:val="99"/>
    <w:semiHidden/>
    <w:unhideWhenUsed/>
    <w:rsid w:val="00E64CC3"/>
    <w:pPr>
      <w:spacing w:line="240" w:lineRule="auto"/>
    </w:pPr>
    <w:rPr>
      <w:sz w:val="20"/>
      <w:szCs w:val="20"/>
    </w:rPr>
  </w:style>
  <w:style w:type="character" w:customStyle="1" w:styleId="CommentTextChar">
    <w:name w:val="Comment Text Char"/>
    <w:basedOn w:val="DefaultParagraphFont"/>
    <w:link w:val="CommentText"/>
    <w:uiPriority w:val="99"/>
    <w:semiHidden/>
    <w:rsid w:val="00E64CC3"/>
    <w:rPr>
      <w:sz w:val="20"/>
      <w:szCs w:val="20"/>
    </w:rPr>
  </w:style>
  <w:style w:type="paragraph" w:styleId="CommentSubject">
    <w:name w:val="annotation subject"/>
    <w:basedOn w:val="CommentText"/>
    <w:next w:val="CommentText"/>
    <w:link w:val="CommentSubjectChar"/>
    <w:uiPriority w:val="99"/>
    <w:semiHidden/>
    <w:unhideWhenUsed/>
    <w:rsid w:val="00E64CC3"/>
    <w:rPr>
      <w:b/>
      <w:bCs/>
    </w:rPr>
  </w:style>
  <w:style w:type="character" w:customStyle="1" w:styleId="CommentSubjectChar">
    <w:name w:val="Comment Subject Char"/>
    <w:basedOn w:val="CommentTextChar"/>
    <w:link w:val="CommentSubject"/>
    <w:uiPriority w:val="99"/>
    <w:semiHidden/>
    <w:rsid w:val="00E64CC3"/>
    <w:rPr>
      <w:b/>
      <w:bCs/>
      <w:sz w:val="20"/>
      <w:szCs w:val="20"/>
    </w:rPr>
  </w:style>
  <w:style w:type="paragraph" w:styleId="BalloonText">
    <w:name w:val="Balloon Text"/>
    <w:basedOn w:val="Normal"/>
    <w:link w:val="BalloonTextChar"/>
    <w:uiPriority w:val="99"/>
    <w:semiHidden/>
    <w:unhideWhenUsed/>
    <w:rsid w:val="00E64C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b5051125-18b4-44c2-b612-3fb27a965a68_1" sourcehash="-1931932090" targethash="2129022081"/>
  <segment id="7af5df5b-5412-4652-94c3-0636ef3a0eac_2" sourcehash="-209557786" targethash="-209557786"/>
  <segment id="9c6b846f-bf00-4547-b9bc-3320922bb760_3" sourcehash="-209557787" targethash="-209557787"/>
  <segment id="d43ea746-2e98-430a-a78a-88fa27cadfea_4" sourcehash="-1708121818" targethash="-1106515501"/>
  <segment id="da432b30-5501-45ce-9001-c27845cce6a3_5" sourcehash="-750967659" targethash="1815782551"/>
  <segment id="3a874e05-d703-4060-8563-8a39b587db99_6" sourcehash="-1194370383" targethash="-1761498198"/>
  <segment id="7d6c4c12-a4e2-4d12-95e7-42dfb16c96c1_7" sourcehash="-275860467" targethash="-1453072351"/>
  <segment id="76696683-e484-4582-a208-800c116cc004_8" sourcehash="-1560271200" targethash="1883391963"/>
  <segment id="97131ac6-0c71-431c-8580-5da2e0c30233_9" sourcehash="1844001751" targethash="1672924303"/>
  <segment id="ba09dc10-a0fa-4845-bc41-7c77740417e5_10" sourcehash="1900967183" targethash="-1177005328"/>
  <segment id="192665b5-a10a-473a-8d07-9b7d253d1aa6_11" sourcehash="-335102009" targethash="277753618"/>
  <segment id="200fe25c-adf7-4aa9-8e20-5507191d9b2f_12" sourcehash="-779167730" targethash="-2062219005"/>
  <segment id="0f0fedb0-f84d-4307-8958-cb45cb4611c2_13" sourcehash="-201365785" targethash="-201365785"/>
  <segment id="b96cafff-4f6f-4702-a8ac-b556e7a6e96a_14" sourcehash="-201431321" targethash="-201431321"/>
  <segment id="a7d02b3d-79de-480e-8789-62fa058d89b2_15" sourcehash="228988120" targethash="153364060"/>
  <segment id="dec50420-b374-44f3-9771-d9d5df19c181_16" sourcehash="-1168907114" targethash="-337816263"/>
  <segment id="5ba387f2-a2d8-47a7-b3e0-0b314287d7d2_17" sourcehash="22281369" targethash="-1123479857"/>
  <segment id="4161b182-c1b1-42ed-8af0-fc8612aea352_18" sourcehash="1165746078" targethash="1811435489"/>
  <segment id="5b769e30-4e22-4b6f-849b-988311ad42c1_19" sourcehash="1734709442" targethash="1402222067"/>
  <segment id="cc6c8b8f-6623-4e31-be95-6e06dd7cdb9a_20" sourcehash="1558395814" targethash="-2045794243"/>
  <segment id="fbcdc4fe-2b0c-49ef-861a-3676586a8807_21" sourcehash="-412915160" targethash="1211034861"/>
  <segment id="a0941cbd-ac56-4417-b2e1-119c1598111c_22" sourcehash="2134673658" targethash="415335685"/>
  <segment id="846e5ecb-b2a1-46df-99d0-067195ddb38c_23" sourcehash="-746163535" targethash="-1080617715"/>
  <segment id="824ddd23-4dea-4930-81b4-3a48c75ff1f6_24" sourcehash="-1214259368" targethash="-728320066"/>
  <segment id="85e2a212-55c3-4a93-93f6-6c53a1abc2be_25" sourcehash="509449621" targethash="-585969947"/>
  <segment id="51fbaaaa-a296-4eb6-ae6f-ec17a0a359b8_26" sourcehash="-1978742098" targethash="1372572061"/>
  <segment id="9ec590c8-c4e9-485c-b4a8-3881e6dcdf0e_27" sourcehash="1007405473" targethash="-1757411757"/>
  <segment id="9ec590c8-c4e9-485c-b4a8-3881e6dcdf0e_28" sourcehash="1407455630" targethash="-1514116643"/>
  <segment id="e9e70c64-3f32-4e59-a890-71de8726bc6c_29" sourcehash="-114673619" targethash="-1387213016"/>
  <segment id="e9e70c64-3f32-4e59-a890-71de8726bc6c_30" sourcehash="670369632" targethash="183505188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4</cp:revision>
  <dcterms:created xsi:type="dcterms:W3CDTF">2025-03-09T06:37:00Z</dcterms:created>
  <dcterms:modified xsi:type="dcterms:W3CDTF">2025-05-08T05:58:00Z</dcterms:modified>
</cp:coreProperties>
</file>