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5E74" w14:textId="77777777" w:rsidR="00B458D5" w:rsidRPr="00884541" w:rsidRDefault="00B458D5" w:rsidP="00B458D5">
      <w:pPr>
        <w:spacing w:line="360" w:lineRule="auto"/>
        <w:rPr>
          <w:rFonts w:ascii="Arial" w:hAnsi="Arial" w:cs="Arial"/>
          <w:b/>
          <w:bCs/>
          <w:sz w:val="28"/>
          <w:szCs w:val="28"/>
        </w:rPr>
      </w:pPr>
      <w:r w:rsidRPr="00884541">
        <w:rPr>
          <w:rFonts w:ascii="Arial" w:hAnsi="Arial" w:cs="Arial"/>
          <w:b/>
          <w:bCs/>
          <w:sz w:val="28"/>
          <w:szCs w:val="28"/>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78B09F7" w14:textId="77777777" w:rsidR="00B458D5" w:rsidRPr="00884541" w:rsidRDefault="00B458D5" w:rsidP="00B458D5">
      <w:pPr>
        <w:spacing w:line="360" w:lineRule="auto"/>
        <w:rPr>
          <w:rFonts w:ascii="Arial" w:hAnsi="Arial" w:cs="Arial"/>
          <w:b/>
          <w:bCs/>
          <w:sz w:val="28"/>
          <w:szCs w:val="28"/>
        </w:rPr>
      </w:pPr>
      <w:r w:rsidRPr="00884541">
        <w:rPr>
          <w:rFonts w:ascii="Arial" w:hAnsi="Arial" w:cs="Arial"/>
          <w:b/>
          <w:bCs/>
          <w:sz w:val="28"/>
          <w:szCs w:val="28"/>
        </w:rPr>
        <w:t>For any corrections, remarks, or suggestions, kindly contact us on translate@lloc.gov.bh</w:t>
      </w:r>
    </w:p>
    <w:p w14:paraId="6211971C" w14:textId="7C0A0259" w:rsidR="00B458D5" w:rsidRPr="00B458D5" w:rsidRDefault="00B458D5" w:rsidP="00B458D5">
      <w:pPr>
        <w:spacing w:line="360" w:lineRule="auto"/>
        <w:rPr>
          <w:rFonts w:ascii="Arial" w:hAnsi="Arial" w:cs="Arial"/>
          <w:sz w:val="28"/>
          <w:szCs w:val="28"/>
        </w:rPr>
      </w:pPr>
      <w:r w:rsidRPr="00884541">
        <w:rPr>
          <w:rFonts w:ascii="Arial" w:hAnsi="Arial" w:cs="Arial"/>
          <w:b/>
          <w:bCs/>
          <w:sz w:val="28"/>
          <w:szCs w:val="28"/>
        </w:rPr>
        <w:t>Published on the website on April 2025</w:t>
      </w:r>
      <w:r w:rsidRPr="00B458D5">
        <w:rPr>
          <w:rFonts w:ascii="Arial" w:hAnsi="Arial" w:cs="Arial"/>
          <w:sz w:val="28"/>
          <w:szCs w:val="28"/>
        </w:rPr>
        <w:br w:type="page"/>
      </w:r>
    </w:p>
    <w:p w14:paraId="653B14A3" w14:textId="6A8DEEDD" w:rsidR="00B746AA" w:rsidRPr="00356798" w:rsidRDefault="00B746AA" w:rsidP="00356798">
      <w:pPr>
        <w:spacing w:line="360" w:lineRule="auto"/>
        <w:jc w:val="center"/>
        <w:rPr>
          <w:rFonts w:ascii="Arial" w:hAnsi="Arial" w:cs="Arial"/>
          <w:b/>
          <w:bCs/>
          <w:sz w:val="28"/>
          <w:szCs w:val="28"/>
        </w:rPr>
      </w:pPr>
      <w:r w:rsidRPr="00356798">
        <w:rPr>
          <w:rFonts w:ascii="Arial" w:hAnsi="Arial" w:cs="Arial"/>
          <w:b/>
          <w:bCs/>
          <w:sz w:val="28"/>
          <w:szCs w:val="28"/>
        </w:rPr>
        <w:lastRenderedPageBreak/>
        <w:t>Law No. (29) of 2010 Amending Certain Provisions of Legislative Decree No. (36) of 2002 regarding the Regulation of Government Tenders and Purchases</w:t>
      </w:r>
    </w:p>
    <w:p w14:paraId="26939D0A" w14:textId="4A781AA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We, Hamad bin Isa Al Khalifa</w:t>
      </w:r>
      <w:r w:rsidR="00356798">
        <w:rPr>
          <w:rFonts w:ascii="Arial" w:hAnsi="Arial" w:cs="Arial"/>
          <w:sz w:val="28"/>
          <w:szCs w:val="28"/>
        </w:rPr>
        <w:t xml:space="preserve">, </w:t>
      </w:r>
      <w:r w:rsidRPr="00B458D5">
        <w:rPr>
          <w:rFonts w:ascii="Arial" w:hAnsi="Arial" w:cs="Arial"/>
          <w:sz w:val="28"/>
          <w:szCs w:val="28"/>
        </w:rPr>
        <w:t>King of the Kingdom of Bahrain.</w:t>
      </w:r>
    </w:p>
    <w:p w14:paraId="07FC4AB9"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Having reviewed the Constitution,</w:t>
      </w:r>
    </w:p>
    <w:p w14:paraId="74CB569F"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Legislative Decree No. (36) of 2002 regarding the Regulation of Government Tenders and Purchases, amended by Law No. (1) of 2007,</w:t>
      </w:r>
    </w:p>
    <w:p w14:paraId="37C7138A"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Law No. (2) of 2007 Amending Certain Provisions of Legislative Decree No. (36) of 2002 regarding the Regulation of Government Tenders and Purchases,</w:t>
      </w:r>
    </w:p>
    <w:p w14:paraId="6B455FAF"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Legislative Decree No. (19) of 2001 promulgating the Civil Law,</w:t>
      </w:r>
    </w:p>
    <w:p w14:paraId="5F74B283"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And Law No. (60) of 2006 Reorganising the Department of Legal Affairs,</w:t>
      </w:r>
    </w:p>
    <w:p w14:paraId="1AF121D6"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Shura Council and the Council of Representatives have approved the following Law, which we have ratified and enacted:</w:t>
      </w:r>
    </w:p>
    <w:p w14:paraId="2FABC4D7"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One</w:t>
      </w:r>
    </w:p>
    <w:p w14:paraId="6BAB4B7D"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1- The title of Legislative Decree No. (36) of 2002 regarding the Regulation of the Government Tenders and Purchases shall be amended to "regarding the Regulation of the Government Tenders, Auctions, Purchases, and Sales".</w:t>
      </w:r>
    </w:p>
    <w:p w14:paraId="257BDD05"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2- The phrase "the disposing entity" shall replace the phrase "the procuring entity" in the definitions set forth in Article One of Legislative Decree No. (36) of 2002 regarding the Regulation of Government Tenders and Purchases.</w:t>
      </w:r>
    </w:p>
    <w:p w14:paraId="1BDABDCB"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lastRenderedPageBreak/>
        <w:t>3- The definition of "the Board" in Article (1) of Legislative Decree No. (36) of 2002 regarding the Regulation of Government Tenders and Purchases shall be amended to read "the Tender and Auction Board"</w:t>
      </w:r>
    </w:p>
    <w:p w14:paraId="31AFD855"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4- A definition of "auction" shall be added after the definition of the Board in Article (1) of Legislative Decree No. (36) of 2002 regarding the Regulation of Government Tenders and Purchases, as follows:</w:t>
      </w:r>
    </w:p>
    <w:p w14:paraId="420B0893"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Auction:</w:t>
      </w:r>
    </w:p>
    <w:p w14:paraId="3C54C51F"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It is a series of procedures announced with the aim of selling or leasing state-owned items, whether movable or immovable, with the objective of achieving the highest prices offered by bidders.</w:t>
      </w:r>
    </w:p>
    <w:p w14:paraId="1B1B0850"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Two</w:t>
      </w:r>
    </w:p>
    <w:p w14:paraId="771A9490"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texts of Articles (8), (10) paragraph (w), (13), (25), (26), (27) first paragraph, (28) last paragraph, (33) last paragraph, (44), (55), and (61) of Legislative Decree No. (36) of 2002 regarding the Regulation of Government Tenders and Purchases shall be replaced with the following texts:</w:t>
      </w:r>
    </w:p>
    <w:p w14:paraId="51C25EA8"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(8) </w:t>
      </w:r>
    </w:p>
    <w:p w14:paraId="28B64719"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 separate board shall be established, named the "Tender and Auction Board," which shall have legal personality and be affiliated with the Cabinet. It shall be composed of a president, a vice president, and seven members with expertise and experience, appointed by decree. The representative of the disposing entity, appointed by a decision issued by the competent minister, shall attend the meetings but shall have no voting rights. The vice president shall replace the president in their absence. The president shall represent the Board in dealings with third parties and before the judiciary. A </w:t>
      </w:r>
      <w:r w:rsidRPr="00B458D5">
        <w:rPr>
          <w:rFonts w:ascii="Arial" w:hAnsi="Arial" w:cs="Arial"/>
          <w:sz w:val="28"/>
          <w:szCs w:val="28"/>
        </w:rPr>
        <w:lastRenderedPageBreak/>
        <w:t>decision shall be issued by the Prime Minister to determine the remuneration for the president, vice president, and members of the Board.</w:t>
      </w:r>
    </w:p>
    <w:p w14:paraId="73D24B6B"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(10) Paragraph (f)</w:t>
      </w:r>
    </w:p>
    <w:p w14:paraId="65A430B2"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Approval of the qualification of the relevant government entities for suppliers and contractors according to criteria approved by the Board.</w:t>
      </w:r>
    </w:p>
    <w:p w14:paraId="66ECFAFF"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(13) </w:t>
      </w:r>
    </w:p>
    <w:p w14:paraId="2C65FCC7"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For the Board meeting to be valid, a majority of its members must be present, including the president or the vice president. The Board’s decisions shall be made by a majority of the members present, provided that this majority is no less than four members. In the event of a tie in votes, the side of the president or the vice president shall prevail in their absence.</w:t>
      </w:r>
    </w:p>
    <w:p w14:paraId="5F9F2699"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(25) </w:t>
      </w:r>
    </w:p>
    <w:p w14:paraId="7798A048"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Bids shall be submitted from the date of the announcement of the tender, for the duration specified by the Board. Based on a justified request from the disposing entity or a number of bidders, this period may be extended to no more than ninety days or shortened, depending on the importance of each tender. It is prohibited to accept any bid submitted after the expiration of these deadlines.</w:t>
      </w:r>
    </w:p>
    <w:p w14:paraId="3549EF28"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(26) </w:t>
      </w:r>
    </w:p>
    <w:p w14:paraId="706894E4"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Tender documents may allow the contractor or supplier to submit more than one price or proposal. However, if such documents do not include this allowance or stipulate that only one price or proposal may be submitted, the </w:t>
      </w:r>
      <w:r w:rsidRPr="00B458D5">
        <w:rPr>
          <w:rFonts w:ascii="Arial" w:hAnsi="Arial" w:cs="Arial"/>
          <w:sz w:val="28"/>
          <w:szCs w:val="28"/>
        </w:rPr>
        <w:lastRenderedPageBreak/>
        <w:t>lowest price or proposal shall be taken into account, without prejudice to the conditions and specifications stipulated in the tender documents.</w:t>
      </w:r>
    </w:p>
    <w:p w14:paraId="7724D3FA"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(27), First Paragraph</w:t>
      </w:r>
    </w:p>
    <w:p w14:paraId="5AE5266A"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bid shall be valid for the duration specified in the tender documents, and this duration must not be less than ninety days. The Board or the disposing entity, with the board's approval, may extend this duration before its expiration. Each supplier or contractor has the right to refuse the extension, without losing their right to recover their bid guarantee.</w:t>
      </w:r>
    </w:p>
    <w:p w14:paraId="23FF8F72"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(28), Last Paragraph</w:t>
      </w:r>
    </w:p>
    <w:p w14:paraId="1E2EC136"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Board shall establish a schedule for the amount of the initial bond based on the value and type of the tender, and the bond shall be returned to suppliers and contractors within seven working days from the date of submitting the performance bond by the successful bidder.</w:t>
      </w:r>
    </w:p>
    <w:p w14:paraId="02B70252"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(33), Last Paragraph</w:t>
      </w:r>
    </w:p>
    <w:p w14:paraId="41E0C520"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disposing entity shall not enter into negotiations with any supplier or contractor regarding their bid, particularly concerning the price. However, after the board's approval, negotiations may be conducted with the bidder offering the best conditions and lowest price to reduce their price to the lowest possible amount if their bid exceeds the estimated cost allocated for the purchase, without prejudice to the conditions and specifications stipulated in the tender documents. The Board must be informed of the results of the negotiations. In all cases, the Board shall have the final decision in this regard.</w:t>
      </w:r>
    </w:p>
    <w:p w14:paraId="66F74573" w14:textId="77777777" w:rsidR="00B746AA" w:rsidRPr="00B458D5" w:rsidRDefault="00B746AA" w:rsidP="00356798">
      <w:pPr>
        <w:keepNext/>
        <w:spacing w:line="360" w:lineRule="auto"/>
        <w:jc w:val="both"/>
        <w:rPr>
          <w:rFonts w:ascii="Arial" w:hAnsi="Arial" w:cs="Arial"/>
          <w:sz w:val="28"/>
          <w:szCs w:val="28"/>
        </w:rPr>
      </w:pPr>
      <w:r w:rsidRPr="00B458D5">
        <w:rPr>
          <w:rFonts w:ascii="Arial" w:hAnsi="Arial" w:cs="Arial"/>
          <w:sz w:val="28"/>
          <w:szCs w:val="28"/>
        </w:rPr>
        <w:lastRenderedPageBreak/>
        <w:t xml:space="preserve">Article (44) </w:t>
      </w:r>
    </w:p>
    <w:p w14:paraId="3730420A" w14:textId="77777777" w:rsidR="00B746AA" w:rsidRPr="00B458D5" w:rsidRDefault="00B746AA" w:rsidP="00356798">
      <w:pPr>
        <w:keepNext/>
        <w:spacing w:line="360" w:lineRule="auto"/>
        <w:jc w:val="both"/>
        <w:rPr>
          <w:rFonts w:ascii="Arial" w:hAnsi="Arial" w:cs="Arial"/>
          <w:sz w:val="28"/>
          <w:szCs w:val="28"/>
        </w:rPr>
      </w:pPr>
      <w:r w:rsidRPr="00B458D5">
        <w:rPr>
          <w:rFonts w:ascii="Arial" w:hAnsi="Arial" w:cs="Arial"/>
          <w:sz w:val="28"/>
          <w:szCs w:val="28"/>
        </w:rPr>
        <w:t>Invitations to submit bids for limited tenders shall be directed to all or as many suppliers or contractors engaged in the type of activity subject to the tender and registered in the records of the disposing authority and the Board. Information regarding the limited tender shall be posted on the Board's website.</w:t>
      </w:r>
    </w:p>
    <w:p w14:paraId="51625DBC"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(55) </w:t>
      </w:r>
    </w:p>
    <w:p w14:paraId="45B2E8E9"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Without prejudice to any penalties stipulated by any other law, the Board may impose any of the following sanctions on a supplier or contractor who violates any provision of this Law:</w:t>
      </w:r>
    </w:p>
    <w:p w14:paraId="7B9E16E5"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 Warning.</w:t>
      </w:r>
    </w:p>
    <w:p w14:paraId="7AE150BD"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b. Forfeiture of the initial bond.</w:t>
      </w:r>
    </w:p>
    <w:p w14:paraId="30E3651D"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c. Downgrading of classification.</w:t>
      </w:r>
    </w:p>
    <w:p w14:paraId="1EAAC628"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d. Deletion from the purchasing procedures register for a specified period or permanently.</w:t>
      </w:r>
    </w:p>
    <w:p w14:paraId="18809DFD"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In all cases, the Board may decide to reject the bid or suspend or cancel the purchase contract, as appropriate, provided that the supplier or contractor is notified of any actions and penalties taken against them via a registered letter with acknowledgement of receipt at the address specified in their bid or in the contract, as applicable.</w:t>
      </w:r>
    </w:p>
    <w:p w14:paraId="1939A1E5" w14:textId="77777777" w:rsidR="00B746AA" w:rsidRPr="00B458D5" w:rsidRDefault="00B746AA" w:rsidP="00356798">
      <w:pPr>
        <w:keepNext/>
        <w:spacing w:line="360" w:lineRule="auto"/>
        <w:jc w:val="both"/>
        <w:rPr>
          <w:rFonts w:ascii="Arial" w:hAnsi="Arial" w:cs="Arial"/>
          <w:sz w:val="28"/>
          <w:szCs w:val="28"/>
        </w:rPr>
      </w:pPr>
      <w:r w:rsidRPr="00B458D5">
        <w:rPr>
          <w:rFonts w:ascii="Arial" w:hAnsi="Arial" w:cs="Arial"/>
          <w:sz w:val="28"/>
          <w:szCs w:val="28"/>
        </w:rPr>
        <w:lastRenderedPageBreak/>
        <w:t xml:space="preserve">Article (61) </w:t>
      </w:r>
    </w:p>
    <w:p w14:paraId="53047D65" w14:textId="77777777" w:rsidR="00B746AA" w:rsidRPr="00B458D5" w:rsidRDefault="00B746AA" w:rsidP="00356798">
      <w:pPr>
        <w:keepNext/>
        <w:spacing w:line="360" w:lineRule="auto"/>
        <w:jc w:val="both"/>
        <w:rPr>
          <w:rFonts w:ascii="Arial" w:hAnsi="Arial" w:cs="Arial"/>
          <w:sz w:val="28"/>
          <w:szCs w:val="28"/>
        </w:rPr>
      </w:pPr>
      <w:r w:rsidRPr="00B458D5">
        <w:rPr>
          <w:rFonts w:ascii="Arial" w:hAnsi="Arial" w:cs="Arial"/>
          <w:sz w:val="28"/>
          <w:szCs w:val="28"/>
        </w:rPr>
        <w:t>The provisions contained in the implementing regulation of this Law shall be considered a complementary part of the tender conditions to which the contract is subject.</w:t>
      </w:r>
    </w:p>
    <w:p w14:paraId="6E4B7629"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Three</w:t>
      </w:r>
    </w:p>
    <w:p w14:paraId="6001075E"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New paragraphs shall be added to Legislative Decree No. (36) of 2002 regarding the Regulation of the Government Tenders and Purchases for Articles (24), (28), (56), and (57) with the following texts:</w:t>
      </w:r>
    </w:p>
    <w:p w14:paraId="22848062"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(24), Last Paragraph</w:t>
      </w:r>
    </w:p>
    <w:p w14:paraId="503E0445"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Bids may be submitted in two envelopes, one for technical and the other for financial proposals, if stipulated in the tender documents, provided that the initial bond is included in the documents of the technical envelope in accordance with the rules established by the implementing regulation.</w:t>
      </w:r>
    </w:p>
    <w:p w14:paraId="7636AEA5"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(28), Last Paragraph</w:t>
      </w:r>
    </w:p>
    <w:p w14:paraId="2AD6D924"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Board may, by a reasoned decision, exempt the disposing authority from providing the initial bond upon request if deemed in the public interest, provided that the exemption applies to all suppliers or contractors participating in the tender. For reasons of public interest, the Board may also exempt bidders for studies, consultancy, and specialised services from providing the initial bond.</w:t>
      </w:r>
    </w:p>
    <w:p w14:paraId="0F5514D2"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(56), Last Paragraph</w:t>
      </w:r>
    </w:p>
    <w:p w14:paraId="4E0C6E7E"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The right of the supplier or contractor to request reconsideration shall lapse if they fail to submit such a request within the specified timeframe. The bidder </w:t>
      </w:r>
      <w:r w:rsidRPr="00B458D5">
        <w:rPr>
          <w:rFonts w:ascii="Arial" w:hAnsi="Arial" w:cs="Arial"/>
          <w:sz w:val="28"/>
          <w:szCs w:val="28"/>
        </w:rPr>
        <w:lastRenderedPageBreak/>
        <w:t>shall be deemed to be aware of this action or decision after seven working days from the date of its announcement on the designated announcement board at the Board or on the Board's official website.</w:t>
      </w:r>
    </w:p>
    <w:p w14:paraId="4DF7A613"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(57), Last Paragraph</w:t>
      </w:r>
    </w:p>
    <w:p w14:paraId="30AAF9A0"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right of the supplier or contractor to file a grievance shall lapse if they fail to file it within the specified timeframe. The bidder shall be deemed to be aware of this action or decision after seven working days from the date of its announcement on the designated announcement board at the Board or on the Board's official website.</w:t>
      </w:r>
    </w:p>
    <w:p w14:paraId="2A3736FC"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Four</w:t>
      </w:r>
    </w:p>
    <w:p w14:paraId="23451C71"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Three new articles shall be added to Legislative Decree No. (36) of 2002 regarding the Regulation of Government Tenders and Purchases, No. (11) bis, (54) bis, and (77) bis, with the following texts:</w:t>
      </w:r>
    </w:p>
    <w:p w14:paraId="2D60EC0D"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(11) bis</w:t>
      </w:r>
    </w:p>
    <w:p w14:paraId="7A4C6FC2"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Subject to the provisions of this Law and its executive regulations, the disposing authority shall be responsible for the procedures of tendering, adjudication, purchasing, and selling for tenders, auctions, purchases, and sales not exceeding twenty-five thousand dinars. As for companies that are wholly owned by the state, they shall undertake these procedures for tenders and auctions and purchases and sales not exceeding fifty thousand dinars.</w:t>
      </w:r>
      <w:r w:rsidRPr="00B458D5">
        <w:rPr>
          <w:rFonts w:ascii="Arial" w:hAnsi="Arial" w:cs="Arial"/>
          <w:sz w:val="28"/>
          <w:szCs w:val="28"/>
        </w:rPr>
        <w:br/>
        <w:t>In all cases, the Board must be notified of a list of these purchases at least once every three months.</w:t>
      </w:r>
    </w:p>
    <w:p w14:paraId="616858CA" w14:textId="77777777" w:rsidR="00B746AA" w:rsidRPr="00B458D5" w:rsidRDefault="00B746AA" w:rsidP="00356798">
      <w:pPr>
        <w:keepNext/>
        <w:spacing w:line="360" w:lineRule="auto"/>
        <w:jc w:val="both"/>
        <w:rPr>
          <w:rFonts w:ascii="Arial" w:hAnsi="Arial" w:cs="Arial"/>
          <w:sz w:val="28"/>
          <w:szCs w:val="28"/>
        </w:rPr>
      </w:pPr>
      <w:r w:rsidRPr="00B458D5">
        <w:rPr>
          <w:rFonts w:ascii="Arial" w:hAnsi="Arial" w:cs="Arial"/>
          <w:sz w:val="28"/>
          <w:szCs w:val="28"/>
        </w:rPr>
        <w:lastRenderedPageBreak/>
        <w:t>Article (54) bis</w:t>
      </w:r>
    </w:p>
    <w:p w14:paraId="7B232C33" w14:textId="77777777" w:rsidR="00B746AA" w:rsidRPr="00B458D5" w:rsidRDefault="00B746AA" w:rsidP="00356798">
      <w:pPr>
        <w:keepNext/>
        <w:spacing w:line="360" w:lineRule="auto"/>
        <w:jc w:val="both"/>
        <w:rPr>
          <w:rFonts w:ascii="Arial" w:hAnsi="Arial" w:cs="Arial"/>
          <w:sz w:val="28"/>
          <w:szCs w:val="28"/>
        </w:rPr>
      </w:pPr>
      <w:r w:rsidRPr="00B458D5">
        <w:rPr>
          <w:rFonts w:ascii="Arial" w:hAnsi="Arial" w:cs="Arial"/>
          <w:sz w:val="28"/>
          <w:szCs w:val="28"/>
        </w:rPr>
        <w:t>The disposing entity may amend the quantities or scope of work in the contract by increase or decrease, provided that the total value of the increase or decrease does not exceed 15% of the contract value. This percentage may only be exceeded with the approval of the Board.</w:t>
      </w:r>
    </w:p>
    <w:p w14:paraId="0F63932C"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(77) bis</w:t>
      </w:r>
    </w:p>
    <w:p w14:paraId="7A11AF29"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President of the Board shall issue the necessary decisions to implement the provisions of this Law.</w:t>
      </w:r>
    </w:p>
    <w:p w14:paraId="3E6A967C"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Five</w:t>
      </w:r>
    </w:p>
    <w:p w14:paraId="1A1BDEBA"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phrase "if such activities are not related to their official duties" shall be replaced by the phrase "if they are related to their official duties" in the second paragraph of Article (7).</w:t>
      </w:r>
    </w:p>
    <w:p w14:paraId="3A3C4A94"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Six</w:t>
      </w:r>
    </w:p>
    <w:p w14:paraId="3605F4C5"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 new chapter shall be added to  Legislative Decree No. (36) of 2002 regarding the Regulation of Government Tenders and Purchases, to be titled Chapter Six: "Auctions and Sales," according to the following texts, and the title of the current Chapter Six of the Law shall be amended to Chapter Seven, and the articles shall be renumbered from (61, 62, 63, 64, 65, 66, 67) to (72, 73, 74, 75, 76, 77, 78).</w:t>
      </w:r>
    </w:p>
    <w:p w14:paraId="1D8BFDB7" w14:textId="77777777" w:rsidR="00B746AA" w:rsidRPr="00B458D5" w:rsidRDefault="00B746AA" w:rsidP="00356798">
      <w:pPr>
        <w:keepNext/>
        <w:spacing w:line="360" w:lineRule="auto"/>
        <w:jc w:val="both"/>
        <w:rPr>
          <w:rFonts w:ascii="Arial" w:hAnsi="Arial" w:cs="Arial"/>
          <w:sz w:val="28"/>
          <w:szCs w:val="28"/>
        </w:rPr>
      </w:pPr>
      <w:r w:rsidRPr="00B458D5">
        <w:rPr>
          <w:rFonts w:ascii="Arial" w:hAnsi="Arial" w:cs="Arial"/>
          <w:sz w:val="28"/>
          <w:szCs w:val="28"/>
        </w:rPr>
        <w:lastRenderedPageBreak/>
        <w:t>Chapter Six</w:t>
      </w:r>
    </w:p>
    <w:p w14:paraId="1E910849" w14:textId="77777777" w:rsidR="00B746AA" w:rsidRPr="00B458D5" w:rsidRDefault="00B746AA" w:rsidP="00356798">
      <w:pPr>
        <w:keepNext/>
        <w:spacing w:line="360" w:lineRule="auto"/>
        <w:jc w:val="both"/>
        <w:rPr>
          <w:rFonts w:ascii="Arial" w:hAnsi="Arial" w:cs="Arial"/>
          <w:sz w:val="28"/>
          <w:szCs w:val="28"/>
        </w:rPr>
      </w:pPr>
      <w:r w:rsidRPr="00B458D5">
        <w:rPr>
          <w:rFonts w:ascii="Arial" w:hAnsi="Arial" w:cs="Arial"/>
          <w:sz w:val="28"/>
          <w:szCs w:val="28"/>
        </w:rPr>
        <w:t>Auctions and Sales</w:t>
      </w:r>
    </w:p>
    <w:p w14:paraId="3CF791D7" w14:textId="77777777" w:rsidR="00B746AA" w:rsidRPr="00B458D5" w:rsidRDefault="00B746AA" w:rsidP="00356798">
      <w:pPr>
        <w:keepNext/>
        <w:spacing w:line="360" w:lineRule="auto"/>
        <w:jc w:val="both"/>
        <w:rPr>
          <w:rFonts w:ascii="Arial" w:hAnsi="Arial" w:cs="Arial"/>
          <w:sz w:val="28"/>
          <w:szCs w:val="28"/>
        </w:rPr>
      </w:pPr>
      <w:r w:rsidRPr="00B458D5">
        <w:rPr>
          <w:rFonts w:ascii="Arial" w:hAnsi="Arial" w:cs="Arial"/>
          <w:sz w:val="28"/>
          <w:szCs w:val="28"/>
        </w:rPr>
        <w:t xml:space="preserve">Article (61) </w:t>
      </w:r>
    </w:p>
    <w:p w14:paraId="00A2BD3A" w14:textId="77777777" w:rsidR="00B746AA" w:rsidRPr="00B458D5" w:rsidRDefault="00B746AA" w:rsidP="00356798">
      <w:pPr>
        <w:keepNext/>
        <w:spacing w:line="360" w:lineRule="auto"/>
        <w:jc w:val="both"/>
        <w:rPr>
          <w:rFonts w:ascii="Arial" w:hAnsi="Arial" w:cs="Arial"/>
          <w:sz w:val="28"/>
          <w:szCs w:val="28"/>
        </w:rPr>
      </w:pPr>
      <w:r w:rsidRPr="00B458D5">
        <w:rPr>
          <w:rFonts w:ascii="Arial" w:hAnsi="Arial" w:cs="Arial"/>
          <w:sz w:val="28"/>
          <w:szCs w:val="28"/>
        </w:rPr>
        <w:t>The Board shall be responsible for adjudicating government auctions and sales. It may form a committee, chaired by one of its members, under its supervision, consisting of members from the Board or others, to adjudicate government auctions and sales with a value of less than 300,000 (three hundred thousand) Bahraini dinars. The committee shall submit its recommendations to the Board for approval.</w:t>
      </w:r>
    </w:p>
    <w:p w14:paraId="7E41FE8F"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(62) </w:t>
      </w:r>
    </w:p>
    <w:p w14:paraId="44CF9F66"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Except for the sale of state-owned real estate, the disposal of assets owned by entities subject to the provisions of this Law shall be conducted by public auction through sealed envelopes. A reasoned decision by the Board may allow for the disposal of these assets through practice or direct methods in the following cases: </w:t>
      </w:r>
    </w:p>
    <w:p w14:paraId="108CE2DE"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 Items that are at risk of damage if stored for an extended period.</w:t>
      </w:r>
    </w:p>
    <w:p w14:paraId="07E82383"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b. Items for which no bids have been submitted in the auctions, or those whose bids do not meet the estimated price.</w:t>
      </w:r>
    </w:p>
    <w:p w14:paraId="6FA7094A"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c. Cases of urgent necessity that do not allow for the auction process.</w:t>
      </w:r>
    </w:p>
    <w:p w14:paraId="761C5EA1"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(63) </w:t>
      </w:r>
    </w:p>
    <w:p w14:paraId="39674558"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The auction shall be announced using the same methods specified for public tenders, and the announcement shall specify the items to be disposed of, </w:t>
      </w:r>
      <w:r w:rsidRPr="00B458D5">
        <w:rPr>
          <w:rFonts w:ascii="Arial" w:hAnsi="Arial" w:cs="Arial"/>
          <w:sz w:val="28"/>
          <w:szCs w:val="28"/>
        </w:rPr>
        <w:lastRenderedPageBreak/>
        <w:t>their details, the date and location set for the auction, and the method of delivery.</w:t>
      </w:r>
    </w:p>
    <w:p w14:paraId="49DC0860"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(64) </w:t>
      </w:r>
    </w:p>
    <w:p w14:paraId="193A28B0"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same rules and procedures governing government tenders and purchases shall apply to government auctions and sales, provided that they do not conflict with the nature of government auctions or sales.</w:t>
      </w:r>
    </w:p>
    <w:p w14:paraId="6737AB4C"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(65) </w:t>
      </w:r>
    </w:p>
    <w:p w14:paraId="5DB367C3"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Each bidder must provide an initial bond, which may take the form of cash, a certified cheque from a bank, or an approved letter of guarantee. The Board shall determine the amount of the initial bond for each transaction separately.</w:t>
      </w:r>
    </w:p>
    <w:p w14:paraId="46A085EC"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(66) </w:t>
      </w:r>
    </w:p>
    <w:p w14:paraId="173E7FA9"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auction may be cancelled after it has been announced or invited but before adjudication if it is no longer needed or if the public interest requires its cancellation. The Board or the disposing entity shall bear no civil or other liability as a result of the cancellation of the auction.</w:t>
      </w:r>
    </w:p>
    <w:p w14:paraId="53B43077"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(67) </w:t>
      </w:r>
    </w:p>
    <w:p w14:paraId="42B4164E"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Board shall issue a decision awarding the auction to the highest bidder who meets all requirements.</w:t>
      </w:r>
    </w:p>
    <w:p w14:paraId="4DED3F3A"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(68) </w:t>
      </w:r>
    </w:p>
    <w:p w14:paraId="219F7C39"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Government employees, officials, and others working in entities subject to the provisions of this Law are prohibited from participating in government auctions and sales unless the items purchased are for their personal use and </w:t>
      </w:r>
      <w:r w:rsidRPr="00B458D5">
        <w:rPr>
          <w:rFonts w:ascii="Arial" w:hAnsi="Arial" w:cs="Arial"/>
          <w:sz w:val="28"/>
          <w:szCs w:val="28"/>
        </w:rPr>
        <w:lastRenderedPageBreak/>
        <w:t>are offered for sale by entities other than those they work for. Additionally, a Board member or any person participating in the auction or sale process must refrain from participating in all procedures if they have a direct interest in the transaction being offered.</w:t>
      </w:r>
    </w:p>
    <w:p w14:paraId="7E6D5C9D"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(69) </w:t>
      </w:r>
    </w:p>
    <w:p w14:paraId="4486DEEF"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successful bidder must pay the full value of the items within seven working days from the day following the award of the auction. If they delay without a valid excuse, the initial bond shall be forfeited. In this case, the Board may, as appropriate, award the auction to the next highest bidder or re-announce the auction.</w:t>
      </w:r>
    </w:p>
    <w:p w14:paraId="34567866"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(70) </w:t>
      </w:r>
    </w:p>
    <w:p w14:paraId="7455BCD7"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successful bidder must collect the sold items within fifteen days from the day following payment of the price. If they delay without a valid excuse, they shall pay a ground fee of 1% of the value of the items not collected for each day of delay, up to a maximum of an additional fifteen days, after which the items shall be sold at auction at their expense, the initial bond shall be forfeited, and they shall bear all related expenses.</w:t>
      </w:r>
    </w:p>
    <w:p w14:paraId="325BEF59"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 xml:space="preserve">Article (71) </w:t>
      </w:r>
    </w:p>
    <w:p w14:paraId="0BF9E641"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implementing regulation shall specify the other procedures and conditions related to auctions and sales.</w:t>
      </w:r>
    </w:p>
    <w:p w14:paraId="0D02F294"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Article Seven</w:t>
      </w:r>
    </w:p>
    <w:p w14:paraId="4520DCA0"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President of the Board shall issue the necessary decisions to implement the provisions of this Law.</w:t>
      </w:r>
    </w:p>
    <w:p w14:paraId="18BCBD32"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lastRenderedPageBreak/>
        <w:t>Article Eight</w:t>
      </w:r>
    </w:p>
    <w:p w14:paraId="1BB2DD31"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The Prime Minister and the Ministers - each within his jurisdiction - shall implement this Law, and it shall come into force from the day following the date of its publication in the Official Gazette.</w:t>
      </w:r>
    </w:p>
    <w:p w14:paraId="37DC52DB"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King of the Kingdom of Bahrain</w:t>
      </w:r>
    </w:p>
    <w:p w14:paraId="1A635BED"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Hamad bin Isa Al Khalifa</w:t>
      </w:r>
    </w:p>
    <w:p w14:paraId="70CA47B2"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Issued at Riffa Palace:</w:t>
      </w:r>
    </w:p>
    <w:p w14:paraId="1B2D6523"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On:</w:t>
      </w:r>
    </w:p>
    <w:p w14:paraId="378DB1BA"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18 Rajab 1431 AH</w:t>
      </w:r>
    </w:p>
    <w:p w14:paraId="51E80762"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Corresponding to:</w:t>
      </w:r>
    </w:p>
    <w:p w14:paraId="4D701A22" w14:textId="77777777" w:rsidR="00B746AA" w:rsidRPr="00B458D5" w:rsidRDefault="00B746AA" w:rsidP="00B458D5">
      <w:pPr>
        <w:spacing w:line="360" w:lineRule="auto"/>
        <w:jc w:val="both"/>
        <w:rPr>
          <w:rFonts w:ascii="Arial" w:hAnsi="Arial" w:cs="Arial"/>
          <w:sz w:val="28"/>
          <w:szCs w:val="28"/>
        </w:rPr>
      </w:pPr>
      <w:r w:rsidRPr="00B458D5">
        <w:rPr>
          <w:rFonts w:ascii="Arial" w:hAnsi="Arial" w:cs="Arial"/>
          <w:sz w:val="28"/>
          <w:szCs w:val="28"/>
        </w:rPr>
        <w:t>30 June 2010</w:t>
      </w:r>
    </w:p>
    <w:p w14:paraId="674646E2" w14:textId="77777777" w:rsidR="0013056A" w:rsidRPr="00B458D5" w:rsidRDefault="0013056A" w:rsidP="00B458D5">
      <w:pPr>
        <w:spacing w:line="360" w:lineRule="auto"/>
        <w:rPr>
          <w:rFonts w:ascii="Arial" w:hAnsi="Arial" w:cs="Arial"/>
          <w:sz w:val="28"/>
          <w:szCs w:val="28"/>
        </w:rPr>
      </w:pPr>
    </w:p>
    <w:sectPr w:rsidR="0013056A" w:rsidRPr="00B458D5" w:rsidSect="00B458D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DEBD" w14:textId="77777777" w:rsidR="00311EAC" w:rsidRDefault="00311EAC" w:rsidP="00C0034B">
      <w:pPr>
        <w:spacing w:after="0" w:line="240" w:lineRule="auto"/>
      </w:pPr>
      <w:r>
        <w:separator/>
      </w:r>
    </w:p>
  </w:endnote>
  <w:endnote w:type="continuationSeparator" w:id="0">
    <w:p w14:paraId="73A16F79" w14:textId="77777777" w:rsidR="00311EAC" w:rsidRDefault="00311EAC" w:rsidP="00C0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0F3A" w14:textId="77777777" w:rsidR="00C0034B" w:rsidRDefault="00C003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82F3" w14:textId="77777777" w:rsidR="00C0034B" w:rsidRDefault="00C003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E974" w14:textId="77777777" w:rsidR="00C0034B" w:rsidRDefault="00C003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1A88" w14:textId="77777777" w:rsidR="00311EAC" w:rsidRDefault="00311EAC" w:rsidP="00C0034B">
      <w:pPr>
        <w:spacing w:after="0" w:line="240" w:lineRule="auto"/>
      </w:pPr>
      <w:r>
        <w:separator/>
      </w:r>
    </w:p>
  </w:footnote>
  <w:footnote w:type="continuationSeparator" w:id="0">
    <w:p w14:paraId="780D7B2C" w14:textId="77777777" w:rsidR="00311EAC" w:rsidRDefault="00311EAC" w:rsidP="00C00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81478" w14:textId="77777777" w:rsidR="00C0034B" w:rsidRDefault="00C00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28BE" w14:textId="695F57C6" w:rsidR="00C0034B" w:rsidRDefault="00C00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6659" w14:textId="77777777" w:rsidR="00C0034B" w:rsidRDefault="00C003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124"/>
    <w:rsid w:val="00013D28"/>
    <w:rsid w:val="0013056A"/>
    <w:rsid w:val="001C071F"/>
    <w:rsid w:val="00203F71"/>
    <w:rsid w:val="002A1485"/>
    <w:rsid w:val="00311EAC"/>
    <w:rsid w:val="00317D5D"/>
    <w:rsid w:val="00327D2A"/>
    <w:rsid w:val="00356798"/>
    <w:rsid w:val="003E36B7"/>
    <w:rsid w:val="0043297E"/>
    <w:rsid w:val="00647779"/>
    <w:rsid w:val="00736BE2"/>
    <w:rsid w:val="007E3124"/>
    <w:rsid w:val="00863AEE"/>
    <w:rsid w:val="00884541"/>
    <w:rsid w:val="008F0D58"/>
    <w:rsid w:val="00924118"/>
    <w:rsid w:val="00934F44"/>
    <w:rsid w:val="009440C5"/>
    <w:rsid w:val="00AF099A"/>
    <w:rsid w:val="00B1553C"/>
    <w:rsid w:val="00B458D5"/>
    <w:rsid w:val="00B746AA"/>
    <w:rsid w:val="00C0034B"/>
    <w:rsid w:val="00C52FD5"/>
    <w:rsid w:val="00C64F4D"/>
    <w:rsid w:val="00CB5DD1"/>
    <w:rsid w:val="00F3326D"/>
    <w:rsid w:val="00F475EE"/>
    <w:rsid w:val="00F67BC0"/>
    <w:rsid w:val="213A2607"/>
    <w:rsid w:val="26602A8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5260A"/>
  <w15:docId w15:val="{251B6E85-C709-4F11-80A3-732A0D040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0034B"/>
    <w:pPr>
      <w:spacing w:after="0" w:line="240" w:lineRule="auto"/>
    </w:pPr>
  </w:style>
  <w:style w:type="paragraph" w:styleId="Header">
    <w:name w:val="header"/>
    <w:basedOn w:val="Normal"/>
    <w:link w:val="HeaderChar"/>
    <w:uiPriority w:val="99"/>
    <w:unhideWhenUsed/>
    <w:rsid w:val="00C003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034B"/>
  </w:style>
  <w:style w:type="paragraph" w:styleId="Footer">
    <w:name w:val="footer"/>
    <w:basedOn w:val="Normal"/>
    <w:link w:val="FooterChar"/>
    <w:uiPriority w:val="99"/>
    <w:unhideWhenUsed/>
    <w:rsid w:val="00C003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034B"/>
  </w:style>
  <w:style w:type="paragraph" w:styleId="FootnoteText">
    <w:name w:val="footnote text"/>
    <w:basedOn w:val="Normal"/>
    <w:link w:val="FootnoteTextChar"/>
    <w:uiPriority w:val="99"/>
    <w:semiHidden/>
    <w:unhideWhenUsed/>
    <w:rsid w:val="00C003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034B"/>
    <w:rPr>
      <w:sz w:val="20"/>
      <w:szCs w:val="20"/>
    </w:rPr>
  </w:style>
  <w:style w:type="character" w:styleId="FootnoteReference">
    <w:name w:val="footnote reference"/>
    <w:basedOn w:val="DefaultParagraphFont"/>
    <w:uiPriority w:val="99"/>
    <w:semiHidden/>
    <w:unhideWhenUsed/>
    <w:rsid w:val="00C0034B"/>
    <w:rPr>
      <w:vertAlign w:val="superscript"/>
    </w:rPr>
  </w:style>
  <w:style w:type="paragraph" w:styleId="BalloonText">
    <w:name w:val="Balloon Text"/>
    <w:basedOn w:val="Normal"/>
    <w:link w:val="BalloonTextChar"/>
    <w:uiPriority w:val="99"/>
    <w:semiHidden/>
    <w:unhideWhenUsed/>
    <w:rsid w:val="00F67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BC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67BC0"/>
    <w:rPr>
      <w:b/>
      <w:bCs/>
    </w:rPr>
  </w:style>
  <w:style w:type="character" w:customStyle="1" w:styleId="CommentSubjectChar">
    <w:name w:val="Comment Subject Char"/>
    <w:basedOn w:val="CommentTextChar"/>
    <w:link w:val="CommentSubject"/>
    <w:uiPriority w:val="99"/>
    <w:semiHidden/>
    <w:rsid w:val="00F67B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d9a11405-c775-49e6-ad97-a29be458667c_1" sourcehash="-1530497184" targethash="534137389"/>
  <segment id="0b615b60-a13a-4c95-9391-7d3143cc62fa_2" sourcehash="891971302" targethash="891971302"/>
  <segment id="241488aa-8002-4429-ba60-558a23e4a644_3" sourcehash="891971301" targethash="891971301"/>
  <segment id="46aaf381-279a-4683-998b-d14909cdc073_4" sourcehash="-552273467" targethash="1708066848"/>
  <segment id="f9919fa4-a5df-4090-b663-067246ca82e4_5" sourcehash="-1986601116" targethash="915496806"/>
  <segment id="44fac073-f5b3-4392-8a4a-10331c043b8c_6" sourcehash="1357654755" targethash="1958264256"/>
  <segment id="8f8b10d6-3225-4d56-918c-52fbee584051_7" sourcehash="2016840810" targethash="-644488752"/>
  <segment id="aeda197e-655a-49f8-9af2-f39ad6b2cb6c_8" sourcehash="-1691056682" targethash="-307872813"/>
  <segment id="227a7bd5-23f9-4106-a0df-08277f69f013_9" sourcehash="134422126" targethash="-1814463964"/>
  <segment id="100ab64e-d02c-428e-9bb1-a3440b5b07e6_10" sourcehash="1954655187" targethash="784278551"/>
  <segment id="1bdadadf-e811-4e7e-b192-d52cbaabf772_11" sourcehash="-392462239" targethash="-423332039"/>
  <segment id="a11921b5-24f2-4b17-8de3-ccc5b6566a85_12" sourcehash="1749590255" targethash="-275065616"/>
  <segment id="cbf3a439-90c2-4024-933e-9d85c3745f7f_13" sourcehash="408000373" targethash="-1424751156"/>
  <segment id="30e0e1ac-801c-4b5d-8c4d-b0d837555f6a_14" sourcehash="1823516109" targethash="-282165015"/>
  <segment id="c88f83e7-69b6-4d00-8503-cd0168c08ef6_15" sourcehash="-1664844377" targethash="-1936683918"/>
  <segment id="c88f83e7-69b6-4d00-8503-cd0168c08ef6_16" sourcehash="805742848" targethash="1575568052"/>
  <segment id="c88f83e7-69b6-4d00-8503-cd0168c08ef6_17" sourcehash="-1770699025" targethash="1729646209"/>
  <segment id="b774afcf-f3e1-41a4-a2fa-0345c779f3af_18" sourcehash="1994400359" targethash="287125400"/>
  <segment id="3c249d01-0c0d-479c-81d4-b5c52daa320b_19" sourcehash="-1311377842" targethash="798285542"/>
  <segment id="e43ca0cc-139e-41bf-8222-2b0db9c29167_20" sourcehash="274056655" targethash="2042592166"/>
  <segment id="61e49912-449e-4d6b-bf06-5563b3ddc13c_21" sourcehash="-2000364473" targethash="1718453878"/>
  <segment id="93a2f56c-85f8-456e-a47b-db9f9c5b45a3_23" sourcehash="894920422" targethash="894920422"/>
  <segment id="03f5deb7-6530-467a-b3eb-7bfa8bdf13e4_24" sourcehash="894854886" targethash="894854886"/>
  <segment id="a310c8e2-a228-4445-bd85-5789a426d315_25" sourcehash="993843733" targethash="-192429866"/>
  <segment id="87597e8c-132e-4b9d-bd75-2e8340edc0f3_26" sourcehash="1591146836" targethash="-388489384"/>
  <segment id="76f84afc-23fa-4f36-b2b1-59d645b52e34_27" sourcehash="-981693108" targethash="-2125942514"/>
  <segment id="129e408d-f50f-4327-8bf1-bece02bf7811_28" sourcehash="-918955786" targethash="-1882554451"/>
  <segment id="6cb8b458-57b2-431d-afb3-30f5171cdc33_29" sourcehash="1637232413" targethash="-991393196"/>
  <segment id="64813c98-9524-4258-933a-450648182d02_30" sourcehash="1699256630" targethash="639524087"/>
  <segment id="dd650594-1de0-4111-a290-1a50e6e0c3db_31" sourcehash="531705630" targethash="-320149500"/>
  <segment id="04d10c4d-9304-445f-8398-891fb7369b36_32" sourcehash="11024791" targethash="1977049194"/>
  <segment id="fa8d8c6c-6764-4090-8efe-184b4980f140_33" sourcehash="838706615" targethash="1282435701"/>
  <segment id="d2a5ec45-e9cb-4623-bcc8-b4dc72faf1e3_34" sourcehash="140047381" targethash="399482820"/>
  <segment id="5882e97d-844a-43af-9894-b0daec15d7f1_35" sourcehash="-1142224036" targethash="-189577014"/>
  <segment id="fd8b23a9-aae1-4b5f-bfe0-572def366d6b_36" sourcehash="-1957538268" targethash="1331606042"/>
  <segment id="265bb103-4229-476c-ae8b-66e702a140e4_37" sourcehash="1478925400" targethash="63300772"/>
  <segment id="7d807d51-9162-4108-937b-f2bc59bd2969_38" sourcehash="-1884570077" targethash="-246462272"/>
  <segment id="353aa8c4-9283-4db4-a34b-1a7e1b2cf2bd_41" sourcehash="825906249" targethash="-1442965709"/>
  <segment id="a6683781-c1b6-4325-b2cb-439352f3f00d_42" sourcehash="2093825191" targethash="-1902631700"/>
  <segment id="a2d6e5d6-c5e3-408f-9456-5c2ea7839a3b_43" sourcehash="523805602" targethash="-994473386"/>
  <segment id="a4cc13ef-ea7d-4d0a-8e85-529c917b99cb_44" sourcehash="-1323812615" targethash="-234379407"/>
  <segment id="e57df287-198c-4386-9a6c-26ed3c37c550_45" sourcehash="1246102508" targethash="1053813553"/>
  <segment id="9bb4db50-4f16-411d-8a98-166df1de818c_46" sourcehash="1576084556" targethash="1868385751"/>
  <segment id="8cac823b-310d-4ed3-987e-20ac4c6b0969_47" sourcehash="1157557694" targethash="-826538264"/>
  <segment id="67ee6ead-4e8d-4db0-a243-344671a3e7c0_48" sourcehash="-183161380" targethash="-1240749067"/>
  <segment id="449752b8-8044-45ad-a52f-61848502983a_49" sourcehash="1528041326" targethash="-419786982"/>
  <segment id="524387d1-5f12-4bbf-9eac-97a2d3a9f010_50" sourcehash="700415348" targethash="2130303037"/>
  <segment id="6b87a7b0-5f0d-47e7-834d-5b9e27b5b4ad_51" sourcehash="173575668" targethash="405875829"/>
  <segment id="04b4dc62-940f-41d2-9480-00e5278c6afe_52" sourcehash="-967564017" targethash="-448888194"/>
  <segment id="561ab4b8-371d-421d-8e77-ece418340eb3_53" sourcehash="1151589551" targethash="-1547251689"/>
  <segment id="db3ed952-2b89-4abb-b5dc-f33b3711cbaa_54" sourcehash="833362032" targethash="764198280"/>
  <segment id="88ed1721-f219-4153-9c85-4f08b33c295b_55" sourcehash="803473980" targethash="-1427637336"/>
  <segment id="cfdae19e-86ba-479f-ac77-69b61495260a_56" sourcehash="-1972934286" targethash="-985715996"/>
  <segment id="0c9a6dc6-4ab6-4d44-98a2-90f3823b4536_57" sourcehash="888125599" targethash="-1746696656"/>
  <segment id="fe6953cd-2988-4b4e-a1e4-03211bb24ee9_58" sourcehash="1852727056" targethash="-537693371"/>
  <segment id="bcef8ef0-291a-4081-878f-ce6991186811_59" sourcehash="443556075" targethash="-631891867"/>
  <segment id="0ab1a7d3-4238-4c41-b094-81b0c5e12a11_60" sourcehash="-1763918558" targethash="-1488956695"/>
  <segment id="0f140496-6ee2-4255-b8ae-5e98c1cc1549_61" sourcehash="341897884" targethash="-672114528"/>
  <segment id="a8db1fe6-3846-4432-a453-4d1e64cd54c1_62" sourcehash="-179495522" targethash="-913732016"/>
  <segment id="0f5033fc-24be-43e6-b229-457cec0c14f7_63" sourcehash="-151114721" targethash="1327503829"/>
  <segment id="33becfa1-21db-4895-8031-4757ae83427f_64" sourcehash="-388903019" targethash="-1147537869"/>
  <segment id="152f944b-632a-4e51-a738-b660604f4c2d_65" sourcehash="-1247807638" targethash="-872016527"/>
  <segment id="e6db542f-2b22-41d1-a089-c1e262fad6d6_66" sourcehash="894723810" targethash="894723810"/>
  <segment id="f45179ea-bf21-4683-8a88-97125f66f347_67" sourcehash="-1922229825" targethash="-613757772"/>
  <segment id="adaa8054-29d0-40a8-bf3b-3d98d88442a6_68" sourcehash="1885857086" targethash="-204892717"/>
  <segment id="f3ed629d-f79e-470e-bc38-d5c372bcc556_69" sourcehash="-554839963" targethash="1851687719"/>
  <segment id="73171639-e46c-47d4-99f5-badb5a068579_70" sourcehash="696712888" targethash="-2072422524"/>
  <segment id="97a2a0ff-01c4-4eb5-94b6-fe4ceb3071ac_71" sourcehash="-188344473" targethash="-1407685986"/>
  <segment id="833fc1ca-74e0-404e-a529-71b9abc94f35_72" sourcehash="1344756934" targethash="-588453053"/>
  <segment id="4b8fb3a5-8bfc-469f-bcbf-a6f7a7f388a5_73" sourcehash="2062237471" targethash="510304531"/>
  <segment id="36468656-e13a-4423-8c2f-789c86d7df14_74" sourcehash="-1860639610" targethash="1871953839"/>
  <segment id="ac6ecfae-eac5-482c-9ebc-65a7f6d9278c_75" sourcehash="1805521259" targethash="-229014004"/>
  <segment id="0e33532f-783a-4eec-b734-1b110dafad70_76" sourcehash="-1453018242" targethash="-181203954"/>
  <segment id="db2e5dab-bf81-475e-bcee-e4b4d1e96418_77" sourcehash="699825526" targethash="2129713215"/>
  <segment id="ee8bd8e6-c30c-47a9-8e4d-91d08b82b250_78" sourcehash="-1923501302" targethash="1435760660"/>
  <segment id="6b535f74-682f-4c15-b26c-80e4e1531900_79" sourcehash="-940081802" targethash="1720401388"/>
  <segment id="8bae76ae-9b3c-4fb1-bc42-d014436fa481_80" sourcehash="-1001877815" targethash="-1355795246"/>
  <segment id="81c66928-84b2-4b6f-9f90-ee0cfc3bf58e_82" sourcehash="894985968" targethash="894985968"/>
  <segment id="812da8b3-f224-4676-855d-5808176f79ae_83" sourcehash="1701506778" targethash="-1792375518"/>
  <segment id="e744a74d-903f-4d7f-a42d-5b4b95e2b0b6_84" sourcehash="171431003" targethash="-62600169"/>
  <segment id="30f02562-d6ea-45ea-8e8f-c1c985ef4c88_85" sourcehash="-694278628" targethash="575384373"/>
  <segment id="7a4fd067-2e37-4339-a085-105ff1c3e974_86" sourcehash="854556007" targethash="-2119782120"/>
  <segment id="78d27c77-0bbc-4051-8259-327307defd68_87" sourcehash="-103176574" targethash="853967994"/>
  <segment id="4cbb7509-fd9f-464f-a6f9-c5661c0be569_88" sourcehash="-1953071769" targethash="-1446570201"/>
  <segment id="277d7bb5-0890-4599-b427-c3ab6814c03d_89" sourcehash="1139942956" targethash="-1299774170"/>
  <segment id="b2a374b5-06a0-482e-9d83-71c41ad14188_90" sourcehash="-146571928" targethash="-887649715"/>
  <segment id="d930c64b-7227-4f0a-8b6c-42db51ad5d34_91" sourcehash="572427329" targethash="-1016401024"/>
  <segment id="7a00cda4-3527-42e9-9efd-7e6d24d12f89_92" sourcehash="-1793950360" targethash="-210769890"/>
  <segment id="157dfaff-f111-4a87-8cd5-5955cf67e482_93" sourcehash="-1567234770" targethash="-1739469268"/>
  <segment id="ed4c934a-587c-4511-b4c7-0f2d8dc32cbb_95" sourcehash="8027496" targethash="248079235"/>
  <segment id="aef3344f-7da5-441b-a60b-f459e5f43b6f_96" sourcehash="50861830" targethash="1698158582"/>
  <segment id="aa114f3c-ce9f-41a8-a028-2a891eeca8f4_97" sourcehash="53181800" targethash="-934506524"/>
  <segment id="5e98c352-ebeb-4231-bbf3-0e78b9befa9d_98" sourcehash="-340646044" targethash="-795659487"/>
  <segment id="4a57c81d-b249-4dec-a33b-7ae8c57b0ae5_100" sourcehash="-193028650" targethash="298312631"/>
  <segment id="9495584e-7204-4a8c-b105-4e5bc65fb126_101" sourcehash="662926522" targethash="-961689121"/>
  <segment id="d5a186dd-52e2-4ba2-bc9c-33d7fe12dded_102" sourcehash="74617143" targethash="74617143"/>
  <segment id="86468f44-58c4-4f3e-8ed1-ca5ff31ad302_103" sourcehash="1384041370" targethash="1910712273"/>
  <segment id="e13bd68a-3c8e-4dae-93a3-30a939f9a1f4_104" sourcehash="-1770277109" targethash="-1016093464"/>
  <segment id="835f4693-24b7-4202-a500-7dff76539502_105" sourcehash="-1520115376" targethash="1475015046"/>
  <segment id="46746d1e-0353-4fa7-a172-d450010131ae_106" sourcehash="-1562144430" targethash="-1668476230"/>
  <segment id="faa61dca-f21c-4d6e-a06e-a431bb2ff29f_107" sourcehash="-705336916" targethash="-216335127"/>
  <segment id="97e6fa61-33a6-466d-95e2-73cef89b8243_108" sourcehash="431140810" targethash="360411248"/>
  <segment id="7fcb0d16-3a13-4d77-809d-3bf20c3d3890_109" sourcehash="-824914575" targethash="-747294698"/>
  <segment id="8497eef4-a43c-4878-a567-aa391f98c76d_110" sourcehash="-1895033547" targethash="557062226"/>
  <segment id="515310c2-bd73-4ecd-b703-996c90d338f6_111" sourcehash="599827218" targethash="1086966772"/>
  <segment id="c24f0b56-3ed6-4366-9a9b-22a3f3c43af6_112" sourcehash="796484164" targethash="-331990732"/>
  <segment id="b8a8b593-61c1-4395-8250-b8f54f2428f8_113" sourcehash="-662517286" targethash="54774505"/>
  <segment id="d12f850a-f26f-4090-b211-4ca099340b07_114" sourcehash="-2090530269" targethash="674153937"/>
  <segment id="d12f850a-f26f-4090-b211-4ca099340b07_115" sourcehash="624542648" targethash="-1994344455"/>
  <segment id="563e598d-d672-412e-a2ba-7b433cbff6d6_116" sourcehash="173413021" targethash="1580000664"/>
  <segment id="563e598d-d672-412e-a2ba-7b433cbff6d6_117" sourcehash="-1932708023" targethash="2083121133"/>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2241</Words>
  <Characters>12775</Characters>
  <Application>Microsoft Office Word</Application>
  <DocSecurity>0</DocSecurity>
  <Lines>106</Lines>
  <Paragraphs>29</Paragraphs>
  <ScaleCrop>false</ScaleCrop>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10</cp:revision>
  <dcterms:created xsi:type="dcterms:W3CDTF">2024-11-15T22:31:00Z</dcterms:created>
  <dcterms:modified xsi:type="dcterms:W3CDTF">2025-05-08T05:52:00Z</dcterms:modified>
</cp:coreProperties>
</file>