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D58558" w14:textId="77777777" w:rsidR="005D5AFD" w:rsidRPr="005D5AFD" w:rsidRDefault="005D5AFD" w:rsidP="001B4DCE">
      <w:pPr>
        <w:spacing w:before="120" w:after="0" w:line="360" w:lineRule="auto"/>
        <w:rPr>
          <w:rFonts w:ascii="Arial" w:eastAsia="Times New Roman" w:hAnsi="Arial" w:cs="Arial"/>
          <w:b/>
          <w:bCs/>
          <w:sz w:val="28"/>
          <w:szCs w:val="28"/>
          <w:lang w:val="en-GB"/>
        </w:rPr>
      </w:pPr>
      <w:r w:rsidRPr="005D5AFD">
        <w:rPr>
          <w:rFonts w:ascii="Arial" w:eastAsia="Times New Roman" w:hAnsi="Arial" w:cs="Arial"/>
          <w:b/>
          <w:bCs/>
          <w:sz w:val="28"/>
          <w:szCs w:val="28"/>
          <w:lang w:val="en-GB"/>
        </w:rPr>
        <w:t>Disclaimer: The official version of the law and any amendments thereto is published in Arabic in the Official Gazette. This version of the law, including amendments thereto, is provided for guidance and easy reference purposes. The Legislation &amp; Legal Opinion Commission does not accept any liability for any discrepancy between this version and the official version as published in the Official Gazette and / or any inaccuracy or errors in the translation.</w:t>
      </w:r>
    </w:p>
    <w:p w14:paraId="3369685F" w14:textId="77777777" w:rsidR="005D5AFD" w:rsidRPr="005D5AFD" w:rsidRDefault="005D5AFD" w:rsidP="001B4DCE">
      <w:pPr>
        <w:spacing w:before="120" w:after="0" w:line="360" w:lineRule="auto"/>
        <w:rPr>
          <w:rFonts w:ascii="Arial" w:eastAsia="Times New Roman" w:hAnsi="Arial" w:cs="Arial"/>
          <w:b/>
          <w:bCs/>
          <w:sz w:val="28"/>
          <w:szCs w:val="28"/>
          <w:lang w:val="en-GB"/>
        </w:rPr>
      </w:pPr>
      <w:r w:rsidRPr="005D5AFD">
        <w:rPr>
          <w:rFonts w:ascii="Arial" w:eastAsia="Times New Roman" w:hAnsi="Arial" w:cs="Arial"/>
          <w:b/>
          <w:bCs/>
          <w:sz w:val="28"/>
          <w:szCs w:val="28"/>
          <w:lang w:val="en-GB"/>
        </w:rPr>
        <w:t>For any corrections, remarks, or suggestions, kindly contact us on translate@lloc.gov.bh</w:t>
      </w:r>
    </w:p>
    <w:p w14:paraId="6DD5D176" w14:textId="77777777" w:rsidR="005D5AFD" w:rsidRPr="005D5AFD" w:rsidRDefault="005D5AFD" w:rsidP="001B4DCE">
      <w:pPr>
        <w:spacing w:before="120" w:after="0" w:line="360" w:lineRule="auto"/>
        <w:rPr>
          <w:rFonts w:ascii="Arial" w:eastAsia="Times New Roman" w:hAnsi="Arial" w:cs="Arial"/>
          <w:b/>
          <w:bCs/>
          <w:sz w:val="28"/>
          <w:szCs w:val="28"/>
          <w:lang w:val="en-GB"/>
        </w:rPr>
      </w:pPr>
      <w:r w:rsidRPr="005D5AFD">
        <w:rPr>
          <w:rFonts w:ascii="Arial" w:eastAsia="Times New Roman" w:hAnsi="Arial" w:cs="Arial"/>
          <w:b/>
          <w:bCs/>
          <w:sz w:val="28"/>
          <w:szCs w:val="28"/>
          <w:lang w:val="en-GB"/>
        </w:rPr>
        <w:t>Published on the website on May 2024</w:t>
      </w:r>
      <w:r w:rsidRPr="005D5AFD">
        <w:rPr>
          <w:rFonts w:ascii="Arial" w:eastAsia="Times New Roman" w:hAnsi="Arial" w:cs="Arial"/>
          <w:b/>
          <w:bCs/>
          <w:sz w:val="28"/>
          <w:szCs w:val="28"/>
          <w:lang w:val="en-GB"/>
        </w:rPr>
        <w:br w:type="page"/>
      </w:r>
    </w:p>
    <w:p w14:paraId="3ED18A9D"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b/>
          <w:bCs/>
          <w:sz w:val="28"/>
          <w:szCs w:val="28"/>
          <w:lang w:val="en-GB"/>
        </w:rPr>
        <w:lastRenderedPageBreak/>
        <w:t>Law No. (28) of 2005 Amending Some Provisions of the Legislative Decree No. (17) of 2002 regarding the Governorates System </w:t>
      </w:r>
    </w:p>
    <w:p w14:paraId="07BF6E7F"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sz w:val="28"/>
          <w:szCs w:val="28"/>
          <w:lang w:val="en-GB"/>
        </w:rPr>
        <w:br w:type="page"/>
      </w:r>
    </w:p>
    <w:p w14:paraId="55FEC039"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sz w:val="28"/>
          <w:szCs w:val="28"/>
          <w:lang w:val="en-GB"/>
        </w:rPr>
        <w:t>We, Hamad bin Isa Al Khalifa, King of the Kingdom of Bahrain. </w:t>
      </w:r>
    </w:p>
    <w:p w14:paraId="29212C7D"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sz w:val="28"/>
          <w:szCs w:val="28"/>
          <w:lang w:val="en-GB"/>
        </w:rPr>
        <w:t>Having reviewed the Constitution; </w:t>
      </w:r>
    </w:p>
    <w:p w14:paraId="78B492D2"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sz w:val="28"/>
          <w:szCs w:val="28"/>
          <w:lang w:val="en-GB"/>
        </w:rPr>
        <w:t>Legislative Decree No. (17) of 2002 regarding the Governorates System; </w:t>
      </w:r>
    </w:p>
    <w:p w14:paraId="42717335"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sz w:val="28"/>
          <w:szCs w:val="28"/>
          <w:lang w:val="en-GB"/>
        </w:rPr>
        <w:t>And Municipalities Law promulgated by Legislative Decree No. (35) of 2001, </w:t>
      </w:r>
    </w:p>
    <w:p w14:paraId="155D87E8"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sz w:val="28"/>
          <w:szCs w:val="28"/>
          <w:lang w:val="en-GB"/>
        </w:rPr>
        <w:t>The Shura Council and the Council of Representatives have approved the following law, which we have ratified and enacted: </w:t>
      </w:r>
    </w:p>
    <w:p w14:paraId="403385FB"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b/>
          <w:bCs/>
          <w:sz w:val="28"/>
          <w:szCs w:val="28"/>
          <w:lang w:val="en-GB"/>
        </w:rPr>
        <w:t>Article one </w:t>
      </w:r>
    </w:p>
    <w:p w14:paraId="13A7B897"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sz w:val="28"/>
          <w:szCs w:val="28"/>
          <w:lang w:val="en-GB"/>
        </w:rPr>
        <w:t>A- </w:t>
      </w:r>
    </w:p>
    <w:p w14:paraId="24613A7F"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sz w:val="28"/>
          <w:szCs w:val="28"/>
          <w:lang w:val="en-GB"/>
        </w:rPr>
        <w:t>The texts of Articles (4), (8) paragraphs (a) and (e), (12) first paragraph, (13), (14), (15) of Legislative Decree No. (17) of 2002 regarding the Governorates System shall be replaced with the texts mentioned later. </w:t>
      </w:r>
    </w:p>
    <w:p w14:paraId="410DD21C"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sz w:val="28"/>
          <w:szCs w:val="28"/>
          <w:lang w:val="en-GB"/>
        </w:rPr>
        <w:t>B-  </w:t>
      </w:r>
    </w:p>
    <w:p w14:paraId="4A4249F2"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sz w:val="28"/>
          <w:szCs w:val="28"/>
          <w:lang w:val="en-GB"/>
        </w:rPr>
        <w:t>The phrase (Coordinating Council) shall be replaced with the phrase (Coordination Committee) wherever it appears in the Legislative Decree No. (17) of 2002 regarding the Governorates system. </w:t>
      </w:r>
    </w:p>
    <w:p w14:paraId="6C1BB795"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b/>
          <w:bCs/>
          <w:sz w:val="28"/>
          <w:szCs w:val="28"/>
          <w:lang w:val="en-GB"/>
        </w:rPr>
        <w:t>Article (4) </w:t>
      </w:r>
    </w:p>
    <w:p w14:paraId="7E5EB3D4"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sz w:val="28"/>
          <w:szCs w:val="28"/>
          <w:lang w:val="en-GB"/>
        </w:rPr>
        <w:t>Each governorate shall have a governor who manages its affairs, assisted in this by a deputy, an administrative body and a Coordination council which is formed and its competencies defined in accordance with the provisions set forth in this Law. </w:t>
      </w:r>
    </w:p>
    <w:p w14:paraId="1225D104"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b/>
          <w:bCs/>
          <w:sz w:val="28"/>
          <w:szCs w:val="28"/>
          <w:lang w:val="en-GB"/>
        </w:rPr>
        <w:t>Article (8) </w:t>
      </w:r>
    </w:p>
    <w:p w14:paraId="4FD049D0"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b/>
          <w:bCs/>
          <w:sz w:val="28"/>
          <w:szCs w:val="28"/>
          <w:lang w:val="en-GB"/>
        </w:rPr>
        <w:t>A- </w:t>
      </w:r>
    </w:p>
    <w:p w14:paraId="04AC95B8"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sz w:val="28"/>
          <w:szCs w:val="28"/>
          <w:lang w:val="en-GB"/>
        </w:rPr>
        <w:t>Contribute in supervising the services provided by the state facilities and authorities located in the governorate, with the exception of the judicial authorities, the Ministries of Foreign Affairs and Defence and Municipal Directorate authorities. </w:t>
      </w:r>
    </w:p>
    <w:p w14:paraId="6BF86F8F"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sz w:val="28"/>
          <w:szCs w:val="28"/>
          <w:lang w:val="en-GB"/>
        </w:rPr>
        <w:t>E-  </w:t>
      </w:r>
    </w:p>
    <w:p w14:paraId="34DCB83C"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sz w:val="28"/>
          <w:szCs w:val="28"/>
          <w:lang w:val="en-GB"/>
        </w:rPr>
        <w:t>Receiving governorate´s citizens' complaints and working to find the appropriate solutions within the limits of his competence, in coordination with the competent authorities. </w:t>
      </w:r>
    </w:p>
    <w:p w14:paraId="1294B63C"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b/>
          <w:bCs/>
          <w:sz w:val="28"/>
          <w:szCs w:val="28"/>
          <w:lang w:val="en-GB"/>
        </w:rPr>
        <w:t>Article (12) first paragraph: </w:t>
      </w:r>
    </w:p>
    <w:p w14:paraId="6E1FC681"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sz w:val="28"/>
          <w:szCs w:val="28"/>
          <w:lang w:val="en-GB"/>
        </w:rPr>
        <w:t>The Coordination Council shall be formed by a decision of the Prime Minister based on the recommendation of the Minister of Interior for a term of four years, subject to renewal, headed by the Governor and the membership of each of the Deputy Governor, the Director General of the Municipality, a representative of the Ministry of Interior, the Director of the Governorate Police and representatives of the ministries of services whose job grade is not less than a director of a department. </w:t>
      </w:r>
    </w:p>
    <w:p w14:paraId="540F313B"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b/>
          <w:bCs/>
          <w:sz w:val="28"/>
          <w:szCs w:val="28"/>
          <w:lang w:val="en-GB"/>
        </w:rPr>
        <w:t>Article (13) </w:t>
      </w:r>
    </w:p>
    <w:p w14:paraId="65E093B3"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sz w:val="28"/>
          <w:szCs w:val="28"/>
          <w:lang w:val="en-GB"/>
        </w:rPr>
        <w:t>The Coordination Council shall be responsible for assisting the governor in maintaining the security and public order, identifying the needs of the governorate, and working to meet its requirements within the limits of the available financial resources. </w:t>
      </w:r>
    </w:p>
    <w:p w14:paraId="738F301D"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b/>
          <w:bCs/>
          <w:sz w:val="28"/>
          <w:szCs w:val="28"/>
          <w:lang w:val="en-GB"/>
        </w:rPr>
        <w:t>Article (14) </w:t>
      </w:r>
    </w:p>
    <w:p w14:paraId="5735AC90"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sz w:val="28"/>
          <w:szCs w:val="28"/>
          <w:lang w:val="en-GB"/>
        </w:rPr>
        <w:t>The Coordination Council shall meet at the place specified by the Governor, once a month upon his invitation, and whenever the need arises. </w:t>
      </w:r>
    </w:p>
    <w:p w14:paraId="4129FD09"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sz w:val="28"/>
          <w:szCs w:val="28"/>
          <w:lang w:val="en-GB"/>
        </w:rPr>
        <w:t>The meeting of the Council shall be valid in the presence of more than half of the members who make up the Council, provided that the President is among them. Recommendations of the Council shall be promulgated by the majority of its members, in case of a tie, the side to which the president belongs shall prevail. </w:t>
      </w:r>
    </w:p>
    <w:p w14:paraId="02DD0B41"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b/>
          <w:bCs/>
          <w:sz w:val="28"/>
          <w:szCs w:val="28"/>
          <w:lang w:val="en-GB"/>
        </w:rPr>
        <w:t>Article (15) </w:t>
      </w:r>
    </w:p>
    <w:p w14:paraId="75056CF0"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sz w:val="28"/>
          <w:szCs w:val="28"/>
          <w:lang w:val="en-GB"/>
        </w:rPr>
        <w:t>The governor informs the ministries and relevant authorities of the proposals he deems appropriate and the recommendations of the Coordination Council, in order to seek their opinion on these proposals and recommendations and express their observations in their regard. </w:t>
      </w:r>
    </w:p>
    <w:p w14:paraId="6C313975"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b/>
          <w:bCs/>
          <w:sz w:val="28"/>
          <w:szCs w:val="28"/>
          <w:lang w:val="en-GB"/>
        </w:rPr>
        <w:t>Article Two </w:t>
      </w:r>
    </w:p>
    <w:p w14:paraId="3776419A"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sz w:val="28"/>
          <w:szCs w:val="28"/>
          <w:lang w:val="en-GB"/>
        </w:rPr>
        <w:t>A new Article No. (8) bis shall be added to Legislative Decree No. (17) of 2002 regarding the Governorates System, which reads as follows: </w:t>
      </w:r>
    </w:p>
    <w:p w14:paraId="4EBF93C6"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sz w:val="28"/>
          <w:szCs w:val="28"/>
          <w:lang w:val="en-GB"/>
        </w:rPr>
        <w:t>“The governor is responsible for the security, morals and public values in the governorate. He shall be assisted in this by the Governorate Police Director within the framework of the policy set by the Minister of Interior. The Governorate Police Director shall present to the governor the plans for maintaining the security of the governorate, and he shall notify him immediately of the incidents of special importance, provided that the governor adopts the necessary measures in this regard. </w:t>
      </w:r>
    </w:p>
    <w:p w14:paraId="2695032D"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b/>
          <w:bCs/>
          <w:sz w:val="28"/>
          <w:szCs w:val="28"/>
          <w:lang w:val="en-GB"/>
        </w:rPr>
        <w:t>Article Three </w:t>
      </w:r>
    </w:p>
    <w:p w14:paraId="3DA78C92"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sz w:val="28"/>
          <w:szCs w:val="28"/>
          <w:lang w:val="en-GB"/>
        </w:rPr>
        <w:t>The Ministers- each within his jurisdiction- shall implement the provisions of this Law, and it shall come into force from the day following the date of its publication in the Official Gazette. </w:t>
      </w:r>
    </w:p>
    <w:p w14:paraId="5FC891DB"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b/>
          <w:bCs/>
          <w:sz w:val="28"/>
          <w:szCs w:val="28"/>
          <w:lang w:val="en-GB"/>
        </w:rPr>
        <w:t>King of Kingdom of Bahrain </w:t>
      </w:r>
    </w:p>
    <w:p w14:paraId="2C907014"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b/>
          <w:bCs/>
          <w:sz w:val="28"/>
          <w:szCs w:val="28"/>
          <w:lang w:val="en-GB"/>
        </w:rPr>
        <w:t>Hamad bin Isa Al Khalifa </w:t>
      </w:r>
    </w:p>
    <w:p w14:paraId="3C2869DC"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sz w:val="28"/>
          <w:szCs w:val="28"/>
          <w:lang w:val="en-GB"/>
        </w:rPr>
        <w:t>Issued at Riffa Palace </w:t>
      </w:r>
    </w:p>
    <w:p w14:paraId="7571F868"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b/>
          <w:bCs/>
          <w:sz w:val="28"/>
          <w:szCs w:val="28"/>
          <w:lang w:val="en-GB"/>
        </w:rPr>
        <w:t>On:</w:t>
      </w:r>
      <w:r w:rsidRPr="005D5AFD">
        <w:rPr>
          <w:rFonts w:ascii="Arial" w:eastAsia="Times New Roman" w:hAnsi="Arial" w:cs="Arial"/>
          <w:sz w:val="28"/>
          <w:szCs w:val="28"/>
          <w:lang w:val="en-GB"/>
        </w:rPr>
        <w:t> 10 Rajab 1426 A.H. </w:t>
      </w:r>
    </w:p>
    <w:p w14:paraId="3053A5AB" w14:textId="77777777" w:rsidR="005D5AFD" w:rsidRPr="005D5AFD" w:rsidRDefault="005D5AFD" w:rsidP="001B4DCE">
      <w:pPr>
        <w:spacing w:before="120" w:after="0" w:line="360" w:lineRule="auto"/>
        <w:rPr>
          <w:rFonts w:ascii="Arial" w:eastAsia="Times New Roman" w:hAnsi="Arial" w:cs="Arial"/>
          <w:sz w:val="28"/>
          <w:szCs w:val="28"/>
          <w:lang w:val="en-GB"/>
        </w:rPr>
      </w:pPr>
      <w:r w:rsidRPr="005D5AFD">
        <w:rPr>
          <w:rFonts w:ascii="Arial" w:eastAsia="Times New Roman" w:hAnsi="Arial" w:cs="Arial"/>
          <w:b/>
          <w:bCs/>
          <w:sz w:val="28"/>
          <w:szCs w:val="28"/>
          <w:lang w:val="en-GB"/>
        </w:rPr>
        <w:t>Corresponding to:</w:t>
      </w:r>
      <w:r w:rsidRPr="005D5AFD">
        <w:rPr>
          <w:rFonts w:ascii="Arial" w:eastAsia="Times New Roman" w:hAnsi="Arial" w:cs="Arial"/>
          <w:sz w:val="28"/>
          <w:szCs w:val="28"/>
          <w:lang w:val="en-GB"/>
        </w:rPr>
        <w:t> 15 August 2005 </w:t>
      </w:r>
    </w:p>
    <w:p w14:paraId="14075C94" w14:textId="77777777" w:rsidR="005D5AFD" w:rsidRPr="005D5AFD" w:rsidRDefault="005D5AFD" w:rsidP="001B4DCE">
      <w:pPr>
        <w:spacing w:before="120" w:after="0" w:line="360" w:lineRule="auto"/>
        <w:rPr>
          <w:rFonts w:ascii="Arial" w:eastAsia="Times New Roman" w:hAnsi="Arial" w:cs="Arial"/>
          <w:b/>
          <w:bCs/>
          <w:sz w:val="28"/>
          <w:szCs w:val="28"/>
        </w:rPr>
      </w:pPr>
    </w:p>
    <w:p w14:paraId="797749DE" w14:textId="77777777" w:rsidR="005D5AFD" w:rsidRPr="005D5AFD" w:rsidRDefault="005D5AFD" w:rsidP="001B4DCE">
      <w:pPr>
        <w:spacing w:before="120" w:after="0" w:line="360" w:lineRule="auto"/>
        <w:rPr>
          <w:rFonts w:ascii="Arial" w:hAnsi="Arial" w:cs="Arial"/>
          <w:sz w:val="28"/>
          <w:szCs w:val="28"/>
        </w:rPr>
      </w:pPr>
    </w:p>
    <w:sectPr w:rsidR="005D5AFD" w:rsidRPr="005D5AFD" w:rsidSect="00740AFA">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AB7F24" w14:textId="77777777" w:rsidR="005D5AFD" w:rsidRDefault="005D5AFD">
      <w:pPr>
        <w:spacing w:after="0" w:line="240" w:lineRule="auto"/>
      </w:pPr>
      <w:r>
        <w:separator/>
      </w:r>
    </w:p>
  </w:endnote>
  <w:endnote w:type="continuationSeparator" w:id="0">
    <w:p w14:paraId="5E8EBE2B" w14:textId="77777777" w:rsidR="005D5AFD" w:rsidRDefault="005D5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D867FC" w14:textId="77777777" w:rsidR="005D5AFD" w:rsidRDefault="005D5AFD">
      <w:pPr>
        <w:spacing w:after="0" w:line="240" w:lineRule="auto"/>
      </w:pPr>
      <w:r>
        <w:separator/>
      </w:r>
    </w:p>
  </w:footnote>
  <w:footnote w:type="continuationSeparator" w:id="0">
    <w:p w14:paraId="39F478D2" w14:textId="77777777" w:rsidR="005D5AFD" w:rsidRDefault="005D5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1CC531" w14:textId="77777777" w:rsidR="005D5AFD" w:rsidRDefault="005D5AFD">
    <w:pPr>
      <w:pStyle w:val="Header"/>
    </w:pPr>
    <w:r>
      <w:t>K2805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4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E68"/>
    <w:rsid w:val="000129C5"/>
    <w:rsid w:val="001B4DCE"/>
    <w:rsid w:val="00521F4E"/>
    <w:rsid w:val="005D5AFD"/>
    <w:rsid w:val="00740AFA"/>
    <w:rsid w:val="00815AD9"/>
    <w:rsid w:val="00856E6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F50CF7"/>
  <w15:chartTrackingRefBased/>
  <w15:docId w15:val="{D366483E-B847-49D9-A0B6-08B5BEC5C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ascii="Times New Roman" w:hAnsi="Times New Roman" w:cs="Times New Roman" w:hint="default"/>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msonormal0">
    <w:name w:val="msonormal"/>
    <w:basedOn w:val="Normal"/>
    <w:pPr>
      <w:spacing w:before="100" w:beforeAutospacing="1" w:after="100" w:afterAutospacing="1"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pPr>
      <w:tabs>
        <w:tab w:val="center" w:pos="4320"/>
        <w:tab w:val="right" w:pos="8640"/>
      </w:tabs>
      <w:spacing w:after="0" w:line="240" w:lineRule="auto"/>
    </w:pPr>
  </w:style>
  <w:style w:type="character" w:customStyle="1" w:styleId="HeaderChar">
    <w:name w:val="Header Char"/>
    <w:basedOn w:val="DefaultParagraphFont"/>
    <w:link w:val="Header"/>
    <w:uiPriority w:val="99"/>
    <w:locked/>
  </w:style>
  <w:style w:type="paragraph" w:styleId="Footer">
    <w:name w:val="footer"/>
    <w:basedOn w:val="Normal"/>
    <w:link w:val="FooterChar"/>
    <w:uiPriority w:val="99"/>
    <w:semiHidden/>
    <w:unhideWhenUsed/>
    <w:pPr>
      <w:tabs>
        <w:tab w:val="center" w:pos="4320"/>
        <w:tab w:val="right" w:pos="8640"/>
      </w:tabs>
      <w:spacing w:after="0" w:line="240" w:lineRule="auto"/>
    </w:pPr>
  </w:style>
  <w:style w:type="character" w:customStyle="1" w:styleId="FooterChar">
    <w:name w:val="Footer Char"/>
    <w:basedOn w:val="DefaultParagraphFont"/>
    <w:link w:val="Footer"/>
    <w:uiPriority w:val="99"/>
    <w:semiHidden/>
    <w:locked/>
  </w:style>
  <w:style w:type="character" w:customStyle="1" w:styleId="hidetransorigin">
    <w:name w:val="hidetransorigin"/>
    <w:basedOn w:val="DefaultParagraphFont"/>
  </w:style>
  <w:style w:type="table" w:styleId="TableGrid">
    <w:name w:val="Table Grid"/>
    <w:basedOn w:val="TableNormal"/>
    <w:uiPriority w:val="59"/>
    <w:rPr>
      <w:sz w:val="22"/>
      <w:szCs w:val="22"/>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711</Words>
  <Characters>4055</Characters>
  <Application>Microsoft Office Word</Application>
  <DocSecurity>0</DocSecurity>
  <Lines>33</Lines>
  <Paragraphs>9</Paragraphs>
  <ScaleCrop>false</ScaleCrop>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فيصل فايز البلوشي</cp:lastModifiedBy>
  <cp:revision>4</cp:revision>
  <dcterms:created xsi:type="dcterms:W3CDTF">2024-05-14T09:16:00Z</dcterms:created>
  <dcterms:modified xsi:type="dcterms:W3CDTF">2024-05-15T18:18:00Z</dcterms:modified>
</cp:coreProperties>
</file>