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A67F" w14:textId="77777777" w:rsidR="003820B7" w:rsidRPr="003820B7" w:rsidRDefault="003820B7" w:rsidP="003820B7">
      <w:pPr>
        <w:spacing w:line="360" w:lineRule="auto"/>
        <w:rPr>
          <w:rFonts w:ascii="Arial" w:hAnsi="Arial" w:cs="Arial"/>
          <w:b/>
          <w:bCs/>
          <w:sz w:val="28"/>
          <w:szCs w:val="28"/>
          <w:lang w:val="en-GB"/>
        </w:rPr>
      </w:pPr>
      <w:r w:rsidRPr="003820B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C2CED8" w14:textId="77777777" w:rsidR="003820B7" w:rsidRPr="003820B7" w:rsidRDefault="003820B7" w:rsidP="003820B7">
      <w:pPr>
        <w:spacing w:line="360" w:lineRule="auto"/>
        <w:rPr>
          <w:rFonts w:ascii="Arial" w:hAnsi="Arial" w:cs="Arial"/>
          <w:b/>
          <w:bCs/>
          <w:sz w:val="28"/>
          <w:szCs w:val="28"/>
          <w:lang w:val="en-GB"/>
        </w:rPr>
      </w:pPr>
      <w:r w:rsidRPr="003820B7">
        <w:rPr>
          <w:rFonts w:ascii="Arial" w:hAnsi="Arial" w:cs="Arial"/>
          <w:b/>
          <w:bCs/>
          <w:sz w:val="28"/>
          <w:szCs w:val="28"/>
          <w:lang w:val="en-GB"/>
        </w:rPr>
        <w:t>For any corrections, remarks, or suggestions, kindly contact us on translate@lloc.gov.bh</w:t>
      </w:r>
    </w:p>
    <w:p w14:paraId="21FFDD1F" w14:textId="0A8623F7" w:rsidR="003820B7" w:rsidRPr="003820B7" w:rsidRDefault="003820B7" w:rsidP="003820B7">
      <w:pPr>
        <w:spacing w:line="360" w:lineRule="auto"/>
        <w:rPr>
          <w:rFonts w:ascii="Arial" w:hAnsi="Arial" w:cs="Arial"/>
          <w:b/>
          <w:bCs/>
          <w:sz w:val="28"/>
          <w:szCs w:val="28"/>
          <w:lang w:val="en-GB"/>
        </w:rPr>
      </w:pPr>
      <w:r w:rsidRPr="003820B7">
        <w:rPr>
          <w:rFonts w:ascii="Arial" w:hAnsi="Arial" w:cs="Arial"/>
          <w:b/>
          <w:bCs/>
          <w:sz w:val="28"/>
          <w:szCs w:val="28"/>
          <w:lang w:val="en-GB"/>
        </w:rPr>
        <w:t>Published on the website on April 2025</w:t>
      </w:r>
      <w:r w:rsidRPr="003820B7">
        <w:rPr>
          <w:rFonts w:ascii="Arial" w:hAnsi="Arial" w:cs="Arial"/>
          <w:b/>
          <w:bCs/>
          <w:sz w:val="28"/>
          <w:szCs w:val="28"/>
          <w:lang w:val="en-GB"/>
        </w:rPr>
        <w:br w:type="page"/>
      </w:r>
    </w:p>
    <w:p w14:paraId="6C2C2537" w14:textId="3D207A47" w:rsidR="00194722" w:rsidRPr="003820B7" w:rsidRDefault="00194722" w:rsidP="009E70DD">
      <w:pPr>
        <w:spacing w:line="360" w:lineRule="auto"/>
        <w:jc w:val="center"/>
        <w:rPr>
          <w:rFonts w:ascii="Arial" w:hAnsi="Arial" w:cs="Arial"/>
          <w:b/>
          <w:bCs/>
          <w:sz w:val="28"/>
          <w:szCs w:val="28"/>
          <w:lang w:val="en-GB"/>
        </w:rPr>
      </w:pPr>
      <w:r w:rsidRPr="003820B7">
        <w:rPr>
          <w:rFonts w:ascii="Arial" w:hAnsi="Arial" w:cs="Arial"/>
          <w:b/>
          <w:bCs/>
          <w:sz w:val="28"/>
          <w:szCs w:val="28"/>
          <w:lang w:val="en-GB"/>
        </w:rPr>
        <w:lastRenderedPageBreak/>
        <w:t>Law No. (25) of 2011 regarding Increasing the Minimum Pensions Payable to Persons Subject to Law No. (13) of 1975 regarding the Regulation of Pensions and Retirement Gratuities for Government Employees, as amended</w:t>
      </w:r>
    </w:p>
    <w:p w14:paraId="749C9ED8"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We, Hamad bin Isa Al Khalifa, King of the Kingdom of Bahrain.</w:t>
      </w:r>
    </w:p>
    <w:p w14:paraId="3786CC04"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Having reviewed the Constitution,</w:t>
      </w:r>
    </w:p>
    <w:p w14:paraId="494D7F8F"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Law No. (13) of 1975 regarding the Regulation of Pensions and Retirement Gratuities for Government Employees, as amended,</w:t>
      </w:r>
    </w:p>
    <w:p w14:paraId="3D235D14"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And Law No. (3) of 2008 regarding the Social Insurance Organisation,</w:t>
      </w:r>
    </w:p>
    <w:p w14:paraId="10B690B9"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The Shura Council and the Council of Representatives have approved the following Law, which we have ratified and enacted:</w:t>
      </w:r>
    </w:p>
    <w:p w14:paraId="46DAD57C"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Article One</w:t>
      </w:r>
    </w:p>
    <w:p w14:paraId="543CCC70"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 xml:space="preserve">The minimum pension for the pensioner subject to the provisions of Law No. (13) of 1975 regarding the Regulation of Pensions and Retirement Gratuities for Government Employees shall be (200) two hundred dinars per month. All pensions due prior to the issuance of this Law shall be raised to the </w:t>
      </w:r>
      <w:proofErr w:type="gramStart"/>
      <w:r w:rsidRPr="003820B7">
        <w:rPr>
          <w:rFonts w:ascii="Arial" w:hAnsi="Arial" w:cs="Arial"/>
          <w:sz w:val="28"/>
          <w:szCs w:val="28"/>
          <w:lang w:val="en-GB"/>
        </w:rPr>
        <w:t>aforementioned minimum</w:t>
      </w:r>
      <w:proofErr w:type="gramEnd"/>
      <w:r w:rsidRPr="003820B7">
        <w:rPr>
          <w:rFonts w:ascii="Arial" w:hAnsi="Arial" w:cs="Arial"/>
          <w:sz w:val="28"/>
          <w:szCs w:val="28"/>
          <w:lang w:val="en-GB"/>
        </w:rPr>
        <w:t xml:space="preserve">, </w:t>
      </w:r>
      <w:r w:rsidRPr="003820B7">
        <w:rPr>
          <w:rFonts w:ascii="Arial" w:hAnsi="Arial" w:cs="Arial"/>
          <w:sz w:val="28"/>
          <w:szCs w:val="28"/>
        </w:rPr>
        <w:t>except for pensions due for partial work-related disability. No financial differences shall be paid for the period preceding its enforcement.</w:t>
      </w:r>
    </w:p>
    <w:p w14:paraId="3B7BCF16"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The provisions of this Law shall apply to pensions that become due after its enforcement only in cases where the insured person reaches the age of fifty-five or older at the time of retirement and in cases of natural or work-related death, or total natural or work-related disability.</w:t>
      </w:r>
    </w:p>
    <w:p w14:paraId="17C45623"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lastRenderedPageBreak/>
        <w:t xml:space="preserve">If the age of the pensioner at retirement is less than fifty-five, this increase shall take effect from the day </w:t>
      </w:r>
      <w:r w:rsidRPr="003820B7">
        <w:rPr>
          <w:rFonts w:ascii="Arial" w:hAnsi="Arial" w:cs="Arial"/>
          <w:sz w:val="28"/>
          <w:szCs w:val="28"/>
        </w:rPr>
        <w:t>following their attainment of the age of fifty-five, or from the day following their death or occurrence of total disability prior to reaching the specified age.</w:t>
      </w:r>
    </w:p>
    <w:p w14:paraId="622939B4"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Article Two</w:t>
      </w:r>
    </w:p>
    <w:p w14:paraId="6297A90C"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The financial costs arising from the implementation of the provisions of this Law shall be borne by the State’s general budget.</w:t>
      </w:r>
    </w:p>
    <w:p w14:paraId="6F3D1875"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Article Three</w:t>
      </w:r>
    </w:p>
    <w:p w14:paraId="15E03E50"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The Prime Minister and the Ministers—each within their jurisdiction—shall implement this Law, and it shall come into force as of the first of the month following the date of its publication in the Official Gazette.</w:t>
      </w:r>
    </w:p>
    <w:p w14:paraId="56C335A3"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King of the Kingdom of Bahrain</w:t>
      </w:r>
    </w:p>
    <w:p w14:paraId="19ED9F5C"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Hamad bin Isa Al Khalifa</w:t>
      </w:r>
    </w:p>
    <w:p w14:paraId="4C074A89"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Issued at Riffa Palace:</w:t>
      </w:r>
    </w:p>
    <w:p w14:paraId="4EC359DD"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On:</w:t>
      </w:r>
    </w:p>
    <w:p w14:paraId="375B42EF"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17 Shaaban 1432 A.H.</w:t>
      </w:r>
    </w:p>
    <w:p w14:paraId="4323A7E3"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Corresponding to:</w:t>
      </w:r>
    </w:p>
    <w:p w14:paraId="49EC79DE" w14:textId="77777777" w:rsidR="00194722" w:rsidRPr="003820B7" w:rsidRDefault="00194722" w:rsidP="003820B7">
      <w:pPr>
        <w:spacing w:line="360" w:lineRule="auto"/>
        <w:rPr>
          <w:rFonts w:ascii="Arial" w:hAnsi="Arial" w:cs="Arial"/>
          <w:sz w:val="28"/>
          <w:szCs w:val="28"/>
          <w:lang w:val="en-GB"/>
        </w:rPr>
      </w:pPr>
      <w:r w:rsidRPr="003820B7">
        <w:rPr>
          <w:rFonts w:ascii="Arial" w:hAnsi="Arial" w:cs="Arial"/>
          <w:sz w:val="28"/>
          <w:szCs w:val="28"/>
          <w:lang w:val="en-GB"/>
        </w:rPr>
        <w:t>18 July 2011</w:t>
      </w:r>
    </w:p>
    <w:p w14:paraId="5B83B92A" w14:textId="77777777" w:rsidR="0079788C" w:rsidRPr="003820B7" w:rsidRDefault="0079788C" w:rsidP="003820B7">
      <w:pPr>
        <w:spacing w:line="360" w:lineRule="auto"/>
        <w:rPr>
          <w:rFonts w:ascii="Arial" w:hAnsi="Arial" w:cs="Arial"/>
          <w:sz w:val="28"/>
          <w:szCs w:val="28"/>
        </w:rPr>
      </w:pPr>
    </w:p>
    <w:sectPr w:rsidR="0079788C" w:rsidRPr="003820B7" w:rsidSect="003820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4A44" w14:textId="77777777" w:rsidR="00DF0484" w:rsidRDefault="00DF0484" w:rsidP="00EE44D9">
      <w:pPr>
        <w:spacing w:after="0" w:line="240" w:lineRule="auto"/>
      </w:pPr>
      <w:r>
        <w:separator/>
      </w:r>
    </w:p>
  </w:endnote>
  <w:endnote w:type="continuationSeparator" w:id="0">
    <w:p w14:paraId="145757C5" w14:textId="77777777" w:rsidR="00DF0484" w:rsidRDefault="00DF0484" w:rsidP="00EE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BD82" w14:textId="77777777" w:rsidR="00EE44D9" w:rsidRDefault="00EE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D68A" w14:textId="77777777" w:rsidR="00EE44D9" w:rsidRDefault="00EE4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1D96" w14:textId="77777777" w:rsidR="00EE44D9" w:rsidRDefault="00EE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04B9" w14:textId="77777777" w:rsidR="00DF0484" w:rsidRDefault="00DF0484" w:rsidP="00EE44D9">
      <w:pPr>
        <w:spacing w:after="0" w:line="240" w:lineRule="auto"/>
      </w:pPr>
      <w:r>
        <w:separator/>
      </w:r>
    </w:p>
  </w:footnote>
  <w:footnote w:type="continuationSeparator" w:id="0">
    <w:p w14:paraId="6DC721C9" w14:textId="77777777" w:rsidR="00DF0484" w:rsidRDefault="00DF0484" w:rsidP="00EE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DD4C" w14:textId="77777777" w:rsidR="00EE44D9" w:rsidRDefault="00EE4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5E1D" w14:textId="65210EB3" w:rsidR="00EE44D9" w:rsidRDefault="00EE4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6A44" w14:textId="77777777" w:rsidR="00EE44D9" w:rsidRDefault="00EE4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12"/>
    <w:rsid w:val="00194722"/>
    <w:rsid w:val="003820B7"/>
    <w:rsid w:val="0043297E"/>
    <w:rsid w:val="00501F0E"/>
    <w:rsid w:val="00647779"/>
    <w:rsid w:val="00705C79"/>
    <w:rsid w:val="00736BE2"/>
    <w:rsid w:val="00745C37"/>
    <w:rsid w:val="0079788C"/>
    <w:rsid w:val="009A6799"/>
    <w:rsid w:val="009E70DD"/>
    <w:rsid w:val="00AF673A"/>
    <w:rsid w:val="00B87812"/>
    <w:rsid w:val="00B9269D"/>
    <w:rsid w:val="00BC783C"/>
    <w:rsid w:val="00CB5DD1"/>
    <w:rsid w:val="00CE6B0B"/>
    <w:rsid w:val="00DF0484"/>
    <w:rsid w:val="00E5659D"/>
    <w:rsid w:val="00EE44D9"/>
    <w:rsid w:val="00F57A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3264"/>
  <w15:docId w15:val="{251B6E85-C709-4F11-80A3-732A0D04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EE44D9"/>
    <w:pPr>
      <w:spacing w:after="0" w:line="240" w:lineRule="auto"/>
    </w:pPr>
  </w:style>
  <w:style w:type="paragraph" w:styleId="Header">
    <w:name w:val="header"/>
    <w:basedOn w:val="Normal"/>
    <w:link w:val="HeaderChar"/>
    <w:uiPriority w:val="99"/>
    <w:unhideWhenUsed/>
    <w:rsid w:val="00EE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4D9"/>
  </w:style>
  <w:style w:type="paragraph" w:styleId="Footer">
    <w:name w:val="footer"/>
    <w:basedOn w:val="Normal"/>
    <w:link w:val="FooterChar"/>
    <w:uiPriority w:val="99"/>
    <w:unhideWhenUsed/>
    <w:rsid w:val="00EE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4D9"/>
  </w:style>
  <w:style w:type="character" w:styleId="CommentReference">
    <w:name w:val="annotation reference"/>
    <w:basedOn w:val="DefaultParagraphFont"/>
    <w:uiPriority w:val="99"/>
    <w:semiHidden/>
    <w:unhideWhenUsed/>
    <w:rsid w:val="00E5659D"/>
    <w:rPr>
      <w:sz w:val="16"/>
      <w:szCs w:val="16"/>
    </w:rPr>
  </w:style>
  <w:style w:type="paragraph" w:styleId="CommentText">
    <w:name w:val="annotation text"/>
    <w:basedOn w:val="Normal"/>
    <w:link w:val="CommentTextChar"/>
    <w:uiPriority w:val="99"/>
    <w:semiHidden/>
    <w:unhideWhenUsed/>
    <w:rsid w:val="00E5659D"/>
    <w:pPr>
      <w:spacing w:line="240" w:lineRule="auto"/>
    </w:pPr>
    <w:rPr>
      <w:sz w:val="20"/>
      <w:szCs w:val="20"/>
    </w:rPr>
  </w:style>
  <w:style w:type="character" w:customStyle="1" w:styleId="CommentTextChar">
    <w:name w:val="Comment Text Char"/>
    <w:basedOn w:val="DefaultParagraphFont"/>
    <w:link w:val="CommentText"/>
    <w:uiPriority w:val="99"/>
    <w:semiHidden/>
    <w:rsid w:val="00E5659D"/>
    <w:rPr>
      <w:sz w:val="20"/>
      <w:szCs w:val="20"/>
    </w:rPr>
  </w:style>
  <w:style w:type="paragraph" w:styleId="CommentSubject">
    <w:name w:val="annotation subject"/>
    <w:basedOn w:val="CommentText"/>
    <w:next w:val="CommentText"/>
    <w:link w:val="CommentSubjectChar"/>
    <w:uiPriority w:val="99"/>
    <w:semiHidden/>
    <w:unhideWhenUsed/>
    <w:rsid w:val="00E5659D"/>
    <w:rPr>
      <w:b/>
      <w:bCs/>
    </w:rPr>
  </w:style>
  <w:style w:type="character" w:customStyle="1" w:styleId="CommentSubjectChar">
    <w:name w:val="Comment Subject Char"/>
    <w:basedOn w:val="CommentTextChar"/>
    <w:link w:val="CommentSubject"/>
    <w:uiPriority w:val="99"/>
    <w:semiHidden/>
    <w:rsid w:val="00E5659D"/>
    <w:rPr>
      <w:b/>
      <w:bCs/>
      <w:sz w:val="20"/>
      <w:szCs w:val="20"/>
    </w:rPr>
  </w:style>
  <w:style w:type="paragraph" w:styleId="BalloonText">
    <w:name w:val="Balloon Text"/>
    <w:basedOn w:val="Normal"/>
    <w:link w:val="BalloonTextChar"/>
    <w:uiPriority w:val="99"/>
    <w:semiHidden/>
    <w:unhideWhenUsed/>
    <w:rsid w:val="00E56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e8463a04-e9fc-4052-838a-adb315bc6f96_1" sourcehash="1867960340" targethash="-558971451"/>
  <segment id="84a3db13-72c9-4dfb-8bf1-6877c53263a8_2" sourcehash="891971302" targethash="891971302"/>
  <segment id="7ade2f07-b45b-46f6-8821-1d2f446b0139_3" sourcehash="891971301" targethash="891971301"/>
  <segment id="e409a32f-c9b9-4520-9dba-21238c5f9447_4" sourcehash="891971300" targethash="891971300"/>
  <segment id="ffc0c4f0-88c8-4e0d-9e64-19a33c6803a4_5" sourcehash="1506417874" targethash="365118179"/>
  <segment id="70f2a459-e656-4446-84ed-abeb3a72743a_6" sourcehash="2072637691" targethash="-997297927"/>
  <segment id="c2343f60-101f-461e-864c-24da5a0969ff_7" sourcehash="1232290357" targethash="-2048788811"/>
  <segment id="c841d175-80cc-4a57-a36d-6f76141e600c_8" sourcehash="1007696466" targethash="-1904457032"/>
  <segment id="96b6f775-2486-48ee-8f11-ec0d085567db_9" sourcehash="1961995210" targethash="785327118"/>
  <segment id="6f370fab-d1b1-48e6-b639-54a5b262fc30_10" sourcehash="-392658847" targethash="-423135431"/>
  <segment id="df2bd589-c3b2-4e12-9be9-4bacf291ae67_11" sourcehash="855588472" targethash="1527585351"/>
  <segment id="effd95b2-0110-4b70-bd03-d3c83d1db713_12" sourcehash="7408140" targethash="-2035737153"/>
  <segment id="5f1285e9-ea98-47fc-8408-aedc483cf64d_13" sourcehash="119147952" targethash="780967119"/>
  <segment id="8c280368-660c-48c2-a170-3abdddfc7726_14" sourcehash="633461871" targethash="1111282064"/>
  <segment id="6b704b70-dd55-40be-8613-f753cc086055_15" sourcehash="1631728118" targethash="1735544549"/>
  <segment id="71fa8c5b-c153-442f-a6fa-f25fbdc22fe8_16" sourcehash="-817814934" targethash="-332692197"/>
  <segment id="85eba752-42e9-49de-9e7a-3537b4d16885_17" sourcehash="698728780" targethash="-125743535"/>
  <segment id="b0608016-2b98-49f7-bca9-2e2da75e430b_18" sourcehash="-1209278631" targethash="-723339329"/>
  <segment id="28555fdd-71eb-40b0-8f02-176f13ec04fc_19" sourcehash="506041748" targethash="-580464924"/>
  <segment id="e4c9af05-312c-489d-a702-dcd4ac83c624_20" sourcehash="-1979659602" targethash="1371654557"/>
  <segment id="82ff61c6-6f92-4c45-9f8d-739d264ea771_21" sourcehash="804463232" targethash="-2068255374"/>
  <segment id="82ff61c6-6f92-4c45-9f8d-739d264ea771_22" sourcehash="1456680964" targethash="-1642591184"/>
  <segment id="41d2d333-8b2f-4ec5-8500-378f96ffe635_23" sourcehash="2100441447" targethash="692635234"/>
  <segment id="41d2d333-8b2f-4ec5-8500-378f96ffe635_24" sourcehash="525768522" targethash="-130458839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zaheer</dc:creator>
  <cp:keywords>sidebyside</cp:keywords>
  <cp:lastModifiedBy>فيصل فايز البلوشي</cp:lastModifiedBy>
  <cp:revision>7</cp:revision>
  <dcterms:created xsi:type="dcterms:W3CDTF">2024-11-15T13:32:00Z</dcterms:created>
  <dcterms:modified xsi:type="dcterms:W3CDTF">2025-05-08T05:50:00Z</dcterms:modified>
</cp:coreProperties>
</file>