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B5884" w14:textId="77777777" w:rsidR="000956A3" w:rsidRPr="000956A3" w:rsidRDefault="000956A3" w:rsidP="000956A3">
      <w:pPr>
        <w:spacing w:line="360" w:lineRule="auto"/>
        <w:rPr>
          <w:rFonts w:ascii="Arial" w:hAnsi="Arial" w:cs="Arial"/>
          <w:b/>
          <w:bCs/>
          <w:sz w:val="28"/>
          <w:szCs w:val="28"/>
          <w:lang w:val="en-GB"/>
        </w:rPr>
      </w:pPr>
      <w:r w:rsidRPr="000956A3">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470746A" w14:textId="77777777" w:rsidR="000956A3" w:rsidRPr="000956A3" w:rsidRDefault="000956A3" w:rsidP="000956A3">
      <w:pPr>
        <w:spacing w:line="360" w:lineRule="auto"/>
        <w:rPr>
          <w:rFonts w:ascii="Arial" w:hAnsi="Arial" w:cs="Arial"/>
          <w:b/>
          <w:bCs/>
          <w:sz w:val="28"/>
          <w:szCs w:val="28"/>
          <w:lang w:val="en-GB"/>
        </w:rPr>
      </w:pPr>
      <w:r w:rsidRPr="000956A3">
        <w:rPr>
          <w:rFonts w:ascii="Arial" w:hAnsi="Arial" w:cs="Arial"/>
          <w:b/>
          <w:bCs/>
          <w:sz w:val="28"/>
          <w:szCs w:val="28"/>
          <w:lang w:val="en-GB"/>
        </w:rPr>
        <w:t>For any corrections, remarks, or suggestions, kindly contact us on translate@lloc.gov.bh</w:t>
      </w:r>
    </w:p>
    <w:p w14:paraId="42B519F4" w14:textId="492EECDC" w:rsidR="000956A3" w:rsidRPr="000956A3" w:rsidRDefault="000956A3" w:rsidP="000956A3">
      <w:pPr>
        <w:spacing w:line="360" w:lineRule="auto"/>
        <w:rPr>
          <w:rFonts w:ascii="Arial" w:hAnsi="Arial" w:cs="Arial"/>
          <w:b/>
          <w:bCs/>
          <w:sz w:val="28"/>
          <w:szCs w:val="28"/>
          <w:lang w:val="en-GB"/>
        </w:rPr>
      </w:pPr>
      <w:r w:rsidRPr="000956A3">
        <w:rPr>
          <w:rFonts w:ascii="Arial" w:hAnsi="Arial" w:cs="Arial"/>
          <w:b/>
          <w:bCs/>
          <w:sz w:val="28"/>
          <w:szCs w:val="28"/>
          <w:lang w:val="en-GB"/>
        </w:rPr>
        <w:t>Published on the website on April 2025</w:t>
      </w:r>
      <w:r w:rsidRPr="000956A3">
        <w:rPr>
          <w:rFonts w:ascii="Arial" w:hAnsi="Arial" w:cs="Arial"/>
          <w:b/>
          <w:bCs/>
          <w:sz w:val="28"/>
          <w:szCs w:val="28"/>
          <w:lang w:val="en-GB"/>
        </w:rPr>
        <w:br w:type="page"/>
      </w:r>
    </w:p>
    <w:p w14:paraId="4732740C" w14:textId="34949216" w:rsidR="00DA35ED" w:rsidRPr="000956A3" w:rsidRDefault="00DA35ED" w:rsidP="000956A3">
      <w:pPr>
        <w:spacing w:line="360" w:lineRule="auto"/>
        <w:jc w:val="both"/>
        <w:rPr>
          <w:rFonts w:ascii="Arial" w:hAnsi="Arial" w:cs="Arial"/>
          <w:b/>
          <w:bCs/>
          <w:sz w:val="28"/>
          <w:szCs w:val="28"/>
          <w:lang w:val="en-GB"/>
        </w:rPr>
      </w:pPr>
      <w:r w:rsidRPr="000956A3">
        <w:rPr>
          <w:rFonts w:ascii="Arial" w:hAnsi="Arial" w:cs="Arial"/>
          <w:b/>
          <w:bCs/>
          <w:sz w:val="28"/>
          <w:szCs w:val="28"/>
          <w:lang w:val="en-GB"/>
        </w:rPr>
        <w:lastRenderedPageBreak/>
        <w:t>Law No. (9) of 2010 Amending Certain Provisions of Legislative Decree No. (8) of 1980 Determining Increases for Pensioners and Beneficiaries</w:t>
      </w:r>
    </w:p>
    <w:p w14:paraId="759ACC85"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We, Hamad bin Isa Al Khalifa, King of the Kingdom of Bahrain.</w:t>
      </w:r>
    </w:p>
    <w:p w14:paraId="4EA4F431"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Having reviewed the Constitution,</w:t>
      </w:r>
    </w:p>
    <w:p w14:paraId="2938C89B"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Social Insurance Law promulgated by Legislative Decree No. (24) of 1976, as amended,</w:t>
      </w:r>
    </w:p>
    <w:p w14:paraId="02749CC2"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Legislative Decree No. (8) of 1980 Determining Increases for Pensioners and Beneficiaries,</w:t>
      </w:r>
    </w:p>
    <w:p w14:paraId="4EAE65AA"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And Law No. (3) of 2008 regarding the Social Insurance Organisation,</w:t>
      </w:r>
    </w:p>
    <w:p w14:paraId="137F0487"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The Shura Council and the Council of Representatives have approved the following Law, which we have ratified and enacted:</w:t>
      </w:r>
    </w:p>
    <w:p w14:paraId="0ADD6A64"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Article One</w:t>
      </w:r>
    </w:p>
    <w:p w14:paraId="6B472C68"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A new paragraph shall be added to Article One of Legislative Decree No. (8) of 1980 Determining Increases for Pensioners and Beneficiaries, with the following text:</w:t>
      </w:r>
    </w:p>
    <w:p w14:paraId="247F86D2"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Article One (Third Paragraph):</w:t>
      </w:r>
    </w:p>
    <w:p w14:paraId="4B63F5A3"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"The insured individual subject to Legislative Decree No. (24) of 1976, upon retirement, and their beneficiaries upon the insured's death, may opt to receive a cash reward in the pension increase specified in the first paragraph of this Article. This reward is calculated at a rate of (3%) of the average wage on which the pension is based, multiplied by the number of months of service counted towards retirement, provided a written request is submitted in this connection to the Social Insurance Organisation before the pension is disbursed. This provision does not apply to injury pensions. The compensation shall be distributed among the beneficiaries in accordance with the shares specified in Table No. (7) attached to the Social Insurance Law issued by Legislative Decree No. (24) of 1976."</w:t>
      </w:r>
    </w:p>
    <w:p w14:paraId="54D355C4"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Article Two</w:t>
      </w:r>
    </w:p>
    <w:p w14:paraId="4A8E1B17"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48B227DB"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King of the Kingdom of Bahrain</w:t>
      </w:r>
    </w:p>
    <w:p w14:paraId="75AFE8FA"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Hamad bin Isa Al Khalifa</w:t>
      </w:r>
    </w:p>
    <w:p w14:paraId="7889B8A7"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Issued at Riffa Palace:</w:t>
      </w:r>
    </w:p>
    <w:p w14:paraId="567DC5FE"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On:</w:t>
      </w:r>
    </w:p>
    <w:p w14:paraId="32218DB2"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17 Rabi' al-Awwal 1431 AH</w:t>
      </w:r>
    </w:p>
    <w:p w14:paraId="4C45B922"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Corresponding to:</w:t>
      </w:r>
    </w:p>
    <w:p w14:paraId="29DC3488" w14:textId="77777777" w:rsidR="00DA35ED" w:rsidRPr="000956A3" w:rsidRDefault="00DA35ED" w:rsidP="000956A3">
      <w:pPr>
        <w:spacing w:line="360" w:lineRule="auto"/>
        <w:jc w:val="both"/>
        <w:rPr>
          <w:rFonts w:ascii="Arial" w:hAnsi="Arial" w:cs="Arial"/>
          <w:sz w:val="28"/>
          <w:szCs w:val="28"/>
          <w:lang w:val="en-GB"/>
        </w:rPr>
      </w:pPr>
      <w:r w:rsidRPr="000956A3">
        <w:rPr>
          <w:rFonts w:ascii="Arial" w:hAnsi="Arial" w:cs="Arial"/>
          <w:sz w:val="28"/>
          <w:szCs w:val="28"/>
          <w:lang w:val="en-GB"/>
        </w:rPr>
        <w:t>3 March 2010</w:t>
      </w:r>
    </w:p>
    <w:p w14:paraId="4548E151" w14:textId="77777777" w:rsidR="00E862B1" w:rsidRPr="000956A3" w:rsidRDefault="00E862B1" w:rsidP="000956A3">
      <w:pPr>
        <w:spacing w:line="360" w:lineRule="auto"/>
        <w:rPr>
          <w:rFonts w:ascii="Arial" w:hAnsi="Arial" w:cs="Arial"/>
          <w:sz w:val="28"/>
          <w:szCs w:val="28"/>
        </w:rPr>
      </w:pPr>
    </w:p>
    <w:sectPr w:rsidR="00E862B1" w:rsidRPr="000956A3" w:rsidSect="000956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D6E31" w14:textId="77777777" w:rsidR="002C73F1" w:rsidRDefault="002C73F1" w:rsidP="0035534A">
      <w:pPr>
        <w:spacing w:after="0" w:line="240" w:lineRule="auto"/>
      </w:pPr>
      <w:r>
        <w:separator/>
      </w:r>
    </w:p>
  </w:endnote>
  <w:endnote w:type="continuationSeparator" w:id="0">
    <w:p w14:paraId="2CB5449D" w14:textId="77777777" w:rsidR="002C73F1" w:rsidRDefault="002C73F1" w:rsidP="0035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569D" w14:textId="77777777" w:rsidR="0035534A" w:rsidRDefault="00355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7D99" w14:textId="77777777" w:rsidR="0035534A" w:rsidRDefault="00355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E2FB" w14:textId="77777777" w:rsidR="0035534A" w:rsidRDefault="00355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4124D" w14:textId="77777777" w:rsidR="002C73F1" w:rsidRDefault="002C73F1" w:rsidP="0035534A">
      <w:pPr>
        <w:spacing w:after="0" w:line="240" w:lineRule="auto"/>
      </w:pPr>
      <w:r>
        <w:separator/>
      </w:r>
    </w:p>
  </w:footnote>
  <w:footnote w:type="continuationSeparator" w:id="0">
    <w:p w14:paraId="42498D71" w14:textId="77777777" w:rsidR="002C73F1" w:rsidRDefault="002C73F1" w:rsidP="0035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D05EA" w14:textId="77777777" w:rsidR="0035534A" w:rsidRDefault="00355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D7B9" w14:textId="1C60E45E" w:rsidR="0035534A" w:rsidRDefault="00355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BB648" w14:textId="77777777" w:rsidR="0035534A" w:rsidRDefault="00355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72"/>
    <w:rsid w:val="0001037B"/>
    <w:rsid w:val="00034F32"/>
    <w:rsid w:val="000956A3"/>
    <w:rsid w:val="000C3057"/>
    <w:rsid w:val="001F4F32"/>
    <w:rsid w:val="00217352"/>
    <w:rsid w:val="002C73F1"/>
    <w:rsid w:val="0035534A"/>
    <w:rsid w:val="00402DB7"/>
    <w:rsid w:val="0043297E"/>
    <w:rsid w:val="004E30B4"/>
    <w:rsid w:val="00521B8C"/>
    <w:rsid w:val="00917D72"/>
    <w:rsid w:val="00A050CD"/>
    <w:rsid w:val="00A13B65"/>
    <w:rsid w:val="00AE3327"/>
    <w:rsid w:val="00CB5DD1"/>
    <w:rsid w:val="00DA35ED"/>
    <w:rsid w:val="00E37CDA"/>
    <w:rsid w:val="00E862B1"/>
    <w:rsid w:val="00F12F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9B50"/>
  <w15:docId w15:val="{6527F9ED-D3D2-4CB8-A1B3-D6A7AFEE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35534A"/>
    <w:pPr>
      <w:spacing w:after="0" w:line="240" w:lineRule="auto"/>
    </w:pPr>
  </w:style>
  <w:style w:type="paragraph" w:styleId="Header">
    <w:name w:val="header"/>
    <w:basedOn w:val="Normal"/>
    <w:link w:val="HeaderChar"/>
    <w:uiPriority w:val="99"/>
    <w:unhideWhenUsed/>
    <w:rsid w:val="00355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34A"/>
  </w:style>
  <w:style w:type="paragraph" w:styleId="Footer">
    <w:name w:val="footer"/>
    <w:basedOn w:val="Normal"/>
    <w:link w:val="FooterChar"/>
    <w:uiPriority w:val="99"/>
    <w:unhideWhenUsed/>
    <w:rsid w:val="00355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34A"/>
  </w:style>
  <w:style w:type="character" w:styleId="CommentReference">
    <w:name w:val="annotation reference"/>
    <w:basedOn w:val="DefaultParagraphFont"/>
    <w:uiPriority w:val="99"/>
    <w:semiHidden/>
    <w:unhideWhenUsed/>
    <w:rsid w:val="00E37CDA"/>
    <w:rPr>
      <w:sz w:val="16"/>
      <w:szCs w:val="16"/>
    </w:rPr>
  </w:style>
  <w:style w:type="paragraph" w:styleId="CommentText">
    <w:name w:val="annotation text"/>
    <w:basedOn w:val="Normal"/>
    <w:link w:val="CommentTextChar"/>
    <w:uiPriority w:val="99"/>
    <w:semiHidden/>
    <w:unhideWhenUsed/>
    <w:rsid w:val="00E37CDA"/>
    <w:pPr>
      <w:spacing w:line="240" w:lineRule="auto"/>
    </w:pPr>
    <w:rPr>
      <w:sz w:val="20"/>
      <w:szCs w:val="20"/>
    </w:rPr>
  </w:style>
  <w:style w:type="character" w:customStyle="1" w:styleId="CommentTextChar">
    <w:name w:val="Comment Text Char"/>
    <w:basedOn w:val="DefaultParagraphFont"/>
    <w:link w:val="CommentText"/>
    <w:uiPriority w:val="99"/>
    <w:semiHidden/>
    <w:rsid w:val="00E37CDA"/>
    <w:rPr>
      <w:sz w:val="20"/>
      <w:szCs w:val="20"/>
    </w:rPr>
  </w:style>
  <w:style w:type="paragraph" w:styleId="CommentSubject">
    <w:name w:val="annotation subject"/>
    <w:basedOn w:val="CommentText"/>
    <w:next w:val="CommentText"/>
    <w:link w:val="CommentSubjectChar"/>
    <w:uiPriority w:val="99"/>
    <w:semiHidden/>
    <w:unhideWhenUsed/>
    <w:rsid w:val="00E37CDA"/>
    <w:rPr>
      <w:b/>
      <w:bCs/>
    </w:rPr>
  </w:style>
  <w:style w:type="character" w:customStyle="1" w:styleId="CommentSubjectChar">
    <w:name w:val="Comment Subject Char"/>
    <w:basedOn w:val="CommentTextChar"/>
    <w:link w:val="CommentSubject"/>
    <w:uiPriority w:val="99"/>
    <w:semiHidden/>
    <w:rsid w:val="00E37CDA"/>
    <w:rPr>
      <w:b/>
      <w:bCs/>
      <w:sz w:val="20"/>
      <w:szCs w:val="20"/>
    </w:rPr>
  </w:style>
  <w:style w:type="paragraph" w:styleId="BalloonText">
    <w:name w:val="Balloon Text"/>
    <w:basedOn w:val="Normal"/>
    <w:link w:val="BalloonTextChar"/>
    <w:uiPriority w:val="99"/>
    <w:semiHidden/>
    <w:unhideWhenUsed/>
    <w:rsid w:val="00E37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9db4cc3e-4375-4614-a85c-fb480aed3b9a_1" sourcehash="-1198534249" targethash="1259731833"/>
  <segment id="26a4200d-3688-48c8-bf63-77733ee53a9a_2" sourcehash="891971302" targethash="891971302"/>
  <segment id="87130d3b-5832-42af-88b8-87f1c27e8ce4_3" sourcehash="891971301" targethash="891971301"/>
  <segment id="7d3fee6d-f036-40e2-ad41-5e1565e94707_4" sourcehash="1506417877" targethash="365118180"/>
  <segment id="7442ad60-66c5-43bd-8b61-cdf690bb4e04_5" sourcehash="692201136" targethash="-1773820238"/>
  <segment id="25482b14-0558-4ae1-a138-96404fe043c0_6" sourcehash="-125796749" targethash="-169147716"/>
  <segment id="ba74b7ba-d7cb-4a00-a1a4-dea1db3bc298_7" sourcehash="704530163" targethash="715319512"/>
  <segment id="663f57c5-da7b-4735-af49-ca7958a22b03_8" sourcehash="-1000804404" targethash="1983160102"/>
  <segment id="2615a1f8-24b9-4e06-a925-6c06918b7281_9" sourcehash="1961995210" targethash="785327118"/>
  <segment id="33af81a9-39d5-479d-a4ef-8befb56c622b_10" sourcehash="-392658847" targethash="-423135431"/>
  <segment id="fd5beeb5-21e8-499c-96d2-2a9cf6dd68aa_11" sourcehash="1450900901" targethash="186261491"/>
  <segment id="e66af519-61f8-4c00-90a8-fd2420672d80_12" sourcehash="-2079049402" targethash="252400734"/>
  <segment id="50b1c50c-705f-4026-a2ee-53aeb83bc05a_13" sourcehash="-99125112" targethash="-1257048641"/>
  <segment id="128adc5a-3896-4228-8508-c00d7e4ff01a_15" sourcehash="1107823310" targethash="636815153"/>
  <segment id="eecac765-504a-4ec2-bf39-ab3e8210fa8b_16" sourcehash="-157605642" targethash="2105543758"/>
  <segment id="803c2e8f-2ebe-450a-ba3a-0fa2fa7179f2_17" sourcehash="-1214587047" targethash="-728516673"/>
  <segment id="63239292-38e6-4499-b7ad-d60af7b6fee7_18" sourcehash="506107284" targethash="-580530460"/>
  <segment id="6c71a2ca-520e-4605-a675-b476668a8b16_19" sourcehash="-1971598673" targethash="1371195804"/>
  <segment id="f4e8b636-d985-4374-b7bc-c26213ca2db3_20" sourcehash="392342332" targethash="-1138137906"/>
  <segment id="f4e8b636-d985-4374-b7bc-c26213ca2db3_21" sourcehash="1677172503" targethash="508965552"/>
  <segment id="fb8673b1-9687-4339-8731-26e7c7337457_22" sourcehash="1984801440" targethash="574053797"/>
  <segment id="fb8673b1-9687-4339-8731-26e7c7337457_23" sourcehash="-226325331" targethash="-727102764"/>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2024-11-05T13:28:00Z</dcterms:created>
  <dcterms:modified xsi:type="dcterms:W3CDTF">2025-05-08T05:01:00Z</dcterms:modified>
</cp:coreProperties>
</file>