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D9A7E" w14:textId="77777777" w:rsidR="008E17D0" w:rsidRPr="008E17D0" w:rsidRDefault="008E17D0" w:rsidP="008E17D0">
      <w:pPr>
        <w:spacing w:line="360" w:lineRule="auto"/>
        <w:rPr>
          <w:rFonts w:ascii="Arial" w:hAnsi="Arial" w:cs="Arial"/>
          <w:b/>
          <w:bCs/>
          <w:sz w:val="28"/>
          <w:szCs w:val="28"/>
          <w:lang w:val="en-GB"/>
        </w:rPr>
      </w:pPr>
      <w:r w:rsidRPr="008E17D0">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67A7BC2" w14:textId="77777777" w:rsidR="008E17D0" w:rsidRPr="008E17D0" w:rsidRDefault="008E17D0" w:rsidP="008E17D0">
      <w:pPr>
        <w:spacing w:line="360" w:lineRule="auto"/>
        <w:rPr>
          <w:rFonts w:ascii="Arial" w:hAnsi="Arial" w:cs="Arial"/>
          <w:b/>
          <w:bCs/>
          <w:sz w:val="28"/>
          <w:szCs w:val="28"/>
          <w:lang w:val="en-GB"/>
        </w:rPr>
      </w:pPr>
      <w:r w:rsidRPr="008E17D0">
        <w:rPr>
          <w:rFonts w:ascii="Arial" w:hAnsi="Arial" w:cs="Arial"/>
          <w:b/>
          <w:bCs/>
          <w:sz w:val="28"/>
          <w:szCs w:val="28"/>
          <w:lang w:val="en-GB"/>
        </w:rPr>
        <w:t>For any corrections, remarks, or suggestions, kindly contact us on translate@lloc.gov.bh</w:t>
      </w:r>
    </w:p>
    <w:p w14:paraId="74D16F2E" w14:textId="23EA81EB" w:rsidR="008E17D0" w:rsidRPr="008E17D0" w:rsidRDefault="008E17D0" w:rsidP="008E17D0">
      <w:pPr>
        <w:spacing w:line="360" w:lineRule="auto"/>
        <w:rPr>
          <w:rFonts w:ascii="Arial" w:hAnsi="Arial" w:cs="Arial"/>
          <w:b/>
          <w:bCs/>
          <w:sz w:val="28"/>
          <w:szCs w:val="28"/>
          <w:lang w:val="en-GB"/>
        </w:rPr>
      </w:pPr>
      <w:r w:rsidRPr="008E17D0">
        <w:rPr>
          <w:rFonts w:ascii="Arial" w:hAnsi="Arial" w:cs="Arial"/>
          <w:b/>
          <w:bCs/>
          <w:sz w:val="28"/>
          <w:szCs w:val="28"/>
          <w:lang w:val="en-GB"/>
        </w:rPr>
        <w:t>Published on the website on April 2025</w:t>
      </w:r>
      <w:r w:rsidRPr="008E17D0">
        <w:rPr>
          <w:rFonts w:ascii="Arial" w:hAnsi="Arial" w:cs="Arial"/>
          <w:b/>
          <w:bCs/>
          <w:sz w:val="28"/>
          <w:szCs w:val="28"/>
          <w:lang w:val="en-GB"/>
        </w:rPr>
        <w:br w:type="page"/>
      </w:r>
    </w:p>
    <w:p w14:paraId="73E18037" w14:textId="4C33A86E" w:rsidR="0059227C" w:rsidRPr="008E17D0" w:rsidRDefault="0059227C" w:rsidP="008E17D0">
      <w:pPr>
        <w:spacing w:line="360" w:lineRule="auto"/>
        <w:jc w:val="both"/>
        <w:rPr>
          <w:rFonts w:ascii="Arial" w:hAnsi="Arial" w:cs="Arial"/>
          <w:b/>
          <w:bCs/>
          <w:sz w:val="28"/>
          <w:szCs w:val="28"/>
          <w:lang w:val="en-GB"/>
        </w:rPr>
      </w:pPr>
      <w:r w:rsidRPr="008E17D0">
        <w:rPr>
          <w:rFonts w:ascii="Arial" w:hAnsi="Arial" w:cs="Arial"/>
          <w:b/>
          <w:bCs/>
          <w:sz w:val="28"/>
          <w:szCs w:val="28"/>
          <w:lang w:val="en-GB"/>
        </w:rPr>
        <w:lastRenderedPageBreak/>
        <w:t>Law No. (9) of 2009 Amending Certain Provisions of the Court of Cassation Law promulgated by Legislative Decree No. (8) of 1989</w:t>
      </w:r>
    </w:p>
    <w:p w14:paraId="2D00C11B" w14:textId="77777777" w:rsidR="0059227C" w:rsidRPr="008E17D0" w:rsidRDefault="0059227C" w:rsidP="008E17D0">
      <w:pPr>
        <w:spacing w:line="360" w:lineRule="auto"/>
        <w:jc w:val="both"/>
        <w:rPr>
          <w:rFonts w:ascii="Arial" w:hAnsi="Arial" w:cs="Arial"/>
          <w:sz w:val="28"/>
          <w:szCs w:val="28"/>
          <w:lang w:val="en-GB"/>
        </w:rPr>
      </w:pPr>
      <w:r w:rsidRPr="008E17D0">
        <w:rPr>
          <w:rFonts w:ascii="Arial" w:hAnsi="Arial" w:cs="Arial"/>
          <w:sz w:val="28"/>
          <w:szCs w:val="28"/>
          <w:lang w:val="en-GB"/>
        </w:rPr>
        <w:t>We, Hamad bin Isa Al Khalifa, King of the Kingdom of Bahrain.</w:t>
      </w:r>
    </w:p>
    <w:p w14:paraId="10FCFDDB" w14:textId="77777777" w:rsidR="0059227C" w:rsidRPr="008E17D0" w:rsidRDefault="0059227C" w:rsidP="008E17D0">
      <w:pPr>
        <w:spacing w:line="360" w:lineRule="auto"/>
        <w:jc w:val="both"/>
        <w:rPr>
          <w:rFonts w:ascii="Arial" w:hAnsi="Arial" w:cs="Arial"/>
          <w:sz w:val="28"/>
          <w:szCs w:val="28"/>
          <w:lang w:val="en-GB"/>
        </w:rPr>
      </w:pPr>
      <w:r w:rsidRPr="008E17D0">
        <w:rPr>
          <w:rFonts w:ascii="Arial" w:hAnsi="Arial" w:cs="Arial"/>
          <w:sz w:val="28"/>
          <w:szCs w:val="28"/>
          <w:lang w:val="en-GB"/>
        </w:rPr>
        <w:t>Having reviewed the Constitution,</w:t>
      </w:r>
    </w:p>
    <w:p w14:paraId="54A37441" w14:textId="77777777" w:rsidR="0059227C" w:rsidRPr="008E17D0" w:rsidRDefault="0059227C" w:rsidP="008E17D0">
      <w:pPr>
        <w:spacing w:line="360" w:lineRule="auto"/>
        <w:jc w:val="both"/>
        <w:rPr>
          <w:rFonts w:ascii="Arial" w:hAnsi="Arial" w:cs="Arial"/>
          <w:sz w:val="28"/>
          <w:szCs w:val="28"/>
          <w:lang w:val="en-GB"/>
        </w:rPr>
      </w:pPr>
      <w:r w:rsidRPr="008E17D0">
        <w:rPr>
          <w:rFonts w:ascii="Arial" w:hAnsi="Arial" w:cs="Arial"/>
          <w:sz w:val="28"/>
          <w:szCs w:val="28"/>
          <w:lang w:val="en-GB"/>
        </w:rPr>
        <w:t>The Penal Code promulgated by Legislative Decree No. (15) of 1976, as amended,</w:t>
      </w:r>
    </w:p>
    <w:p w14:paraId="1DAFB636" w14:textId="77777777" w:rsidR="0059227C" w:rsidRPr="008E17D0" w:rsidRDefault="0059227C" w:rsidP="008E17D0">
      <w:pPr>
        <w:spacing w:line="360" w:lineRule="auto"/>
        <w:jc w:val="both"/>
        <w:rPr>
          <w:rFonts w:ascii="Arial" w:hAnsi="Arial" w:cs="Arial"/>
          <w:sz w:val="28"/>
          <w:szCs w:val="28"/>
          <w:lang w:val="en-GB"/>
        </w:rPr>
      </w:pPr>
      <w:r w:rsidRPr="008E17D0">
        <w:rPr>
          <w:rFonts w:ascii="Arial" w:hAnsi="Arial" w:cs="Arial"/>
          <w:sz w:val="28"/>
          <w:szCs w:val="28"/>
          <w:lang w:val="en-GB"/>
        </w:rPr>
        <w:t>The Court of Cassation Law promulgated by Legislative Decree No. (8) of 1989,</w:t>
      </w:r>
    </w:p>
    <w:p w14:paraId="78EDEBDD" w14:textId="77777777" w:rsidR="0059227C" w:rsidRPr="008E17D0" w:rsidRDefault="0059227C" w:rsidP="008E17D0">
      <w:pPr>
        <w:spacing w:line="360" w:lineRule="auto"/>
        <w:jc w:val="both"/>
        <w:rPr>
          <w:rFonts w:ascii="Arial" w:hAnsi="Arial" w:cs="Arial"/>
          <w:sz w:val="28"/>
          <w:szCs w:val="28"/>
          <w:lang w:val="en-GB"/>
        </w:rPr>
      </w:pPr>
      <w:r w:rsidRPr="008E17D0">
        <w:rPr>
          <w:rFonts w:ascii="Arial" w:hAnsi="Arial" w:cs="Arial"/>
          <w:sz w:val="28"/>
          <w:szCs w:val="28"/>
          <w:lang w:val="en-GB"/>
        </w:rPr>
        <w:t>The Judicial Authority Law promulgated by Legislative Decree No. (42) of 2002 amended by Law No. (50) of 2006,</w:t>
      </w:r>
    </w:p>
    <w:p w14:paraId="5A7E6A9B" w14:textId="77777777" w:rsidR="0059227C" w:rsidRPr="008E17D0" w:rsidRDefault="0059227C" w:rsidP="008E17D0">
      <w:pPr>
        <w:spacing w:line="360" w:lineRule="auto"/>
        <w:jc w:val="both"/>
        <w:rPr>
          <w:rFonts w:ascii="Arial" w:hAnsi="Arial" w:cs="Arial"/>
          <w:sz w:val="28"/>
          <w:szCs w:val="28"/>
          <w:lang w:val="en-GB"/>
        </w:rPr>
      </w:pPr>
      <w:r w:rsidRPr="008E17D0">
        <w:rPr>
          <w:rFonts w:ascii="Arial" w:hAnsi="Arial" w:cs="Arial"/>
          <w:sz w:val="28"/>
          <w:szCs w:val="28"/>
          <w:lang w:val="en-GB"/>
        </w:rPr>
        <w:t>And the Criminal Procedure Law promulgated by Legislative Decree No. (46) of 2002 amended by Law No. (41) of 2005,</w:t>
      </w:r>
    </w:p>
    <w:p w14:paraId="3ECC96BF" w14:textId="77777777" w:rsidR="0059227C" w:rsidRPr="008E17D0" w:rsidRDefault="0059227C" w:rsidP="008E17D0">
      <w:pPr>
        <w:spacing w:line="360" w:lineRule="auto"/>
        <w:jc w:val="both"/>
        <w:rPr>
          <w:rFonts w:ascii="Arial" w:hAnsi="Arial" w:cs="Arial"/>
          <w:sz w:val="28"/>
          <w:szCs w:val="28"/>
          <w:lang w:val="en-GB"/>
        </w:rPr>
      </w:pPr>
      <w:r w:rsidRPr="008E17D0">
        <w:rPr>
          <w:rFonts w:ascii="Arial" w:hAnsi="Arial" w:cs="Arial"/>
          <w:sz w:val="28"/>
          <w:szCs w:val="28"/>
          <w:lang w:val="en-GB"/>
        </w:rPr>
        <w:t>The Shura Council and the Council of Representatives have approved the following Law, which we have ratified and enacted:</w:t>
      </w:r>
    </w:p>
    <w:p w14:paraId="49C00071" w14:textId="77777777" w:rsidR="0059227C" w:rsidRPr="008E17D0" w:rsidRDefault="0059227C" w:rsidP="008E17D0">
      <w:pPr>
        <w:spacing w:line="360" w:lineRule="auto"/>
        <w:jc w:val="both"/>
        <w:rPr>
          <w:rFonts w:ascii="Arial" w:hAnsi="Arial" w:cs="Arial"/>
          <w:sz w:val="28"/>
          <w:szCs w:val="28"/>
          <w:lang w:val="en-GB"/>
        </w:rPr>
      </w:pPr>
      <w:r w:rsidRPr="008E17D0">
        <w:rPr>
          <w:rFonts w:ascii="Arial" w:hAnsi="Arial" w:cs="Arial"/>
          <w:sz w:val="28"/>
          <w:szCs w:val="28"/>
          <w:lang w:val="en-GB"/>
        </w:rPr>
        <w:t>Article One</w:t>
      </w:r>
    </w:p>
    <w:p w14:paraId="65DDCDD5" w14:textId="77777777" w:rsidR="0059227C" w:rsidRPr="008E17D0" w:rsidRDefault="0059227C" w:rsidP="008E17D0">
      <w:pPr>
        <w:spacing w:line="360" w:lineRule="auto"/>
        <w:jc w:val="both"/>
        <w:rPr>
          <w:rFonts w:ascii="Arial" w:hAnsi="Arial" w:cs="Arial"/>
          <w:sz w:val="28"/>
          <w:szCs w:val="28"/>
          <w:lang w:val="en-GB"/>
        </w:rPr>
      </w:pPr>
      <w:r w:rsidRPr="008E17D0">
        <w:rPr>
          <w:rFonts w:ascii="Arial" w:hAnsi="Arial" w:cs="Arial"/>
          <w:sz w:val="28"/>
          <w:szCs w:val="28"/>
          <w:lang w:val="en-GB"/>
        </w:rPr>
        <w:t>The text of Article (41) of the Court of Cassation Law promulgated by Legislative Decree No. (8) of 1989 shall be replaced with the following text:</w:t>
      </w:r>
    </w:p>
    <w:p w14:paraId="092E5BF8" w14:textId="77777777" w:rsidR="0059227C" w:rsidRPr="008E17D0" w:rsidRDefault="0059227C" w:rsidP="008E17D0">
      <w:pPr>
        <w:spacing w:line="360" w:lineRule="auto"/>
        <w:jc w:val="both"/>
        <w:rPr>
          <w:rFonts w:ascii="Arial" w:hAnsi="Arial" w:cs="Arial"/>
          <w:sz w:val="28"/>
          <w:szCs w:val="28"/>
          <w:lang w:val="en-GB"/>
        </w:rPr>
      </w:pPr>
      <w:r w:rsidRPr="008E17D0">
        <w:rPr>
          <w:rFonts w:ascii="Arial" w:hAnsi="Arial" w:cs="Arial"/>
          <w:sz w:val="28"/>
          <w:szCs w:val="28"/>
          <w:lang w:val="en-GB"/>
        </w:rPr>
        <w:t>Article (41):</w:t>
      </w:r>
    </w:p>
    <w:p w14:paraId="528AE8AC" w14:textId="77777777" w:rsidR="0059227C" w:rsidRPr="008E17D0" w:rsidRDefault="0059227C" w:rsidP="008E17D0">
      <w:pPr>
        <w:spacing w:line="360" w:lineRule="auto"/>
        <w:jc w:val="both"/>
        <w:rPr>
          <w:rFonts w:ascii="Arial" w:hAnsi="Arial" w:cs="Arial"/>
          <w:sz w:val="28"/>
          <w:szCs w:val="28"/>
          <w:lang w:val="en-GB"/>
        </w:rPr>
      </w:pPr>
      <w:proofErr w:type="gramStart"/>
      <w:r w:rsidRPr="008E17D0">
        <w:rPr>
          <w:rFonts w:ascii="Arial" w:hAnsi="Arial" w:cs="Arial"/>
          <w:sz w:val="28"/>
          <w:szCs w:val="28"/>
        </w:rPr>
        <w:t>With the exception of</w:t>
      </w:r>
      <w:proofErr w:type="gramEnd"/>
      <w:r w:rsidRPr="008E17D0">
        <w:rPr>
          <w:rFonts w:ascii="Arial" w:hAnsi="Arial" w:cs="Arial"/>
          <w:sz w:val="28"/>
          <w:szCs w:val="28"/>
        </w:rPr>
        <w:t xml:space="preserve"> judgments involving the death penalty, filing a cassation appeal shall not stay the execution of the contested judgment. </w:t>
      </w:r>
      <w:r w:rsidRPr="008E17D0">
        <w:rPr>
          <w:rFonts w:ascii="Arial" w:hAnsi="Arial" w:cs="Arial"/>
          <w:sz w:val="28"/>
          <w:szCs w:val="28"/>
          <w:lang w:val="en-GB"/>
        </w:rPr>
        <w:t xml:space="preserve">However, the Court of Cassation may order a stay of execution pending the outcome of the appeal if such a request is included in the memorandum of </w:t>
      </w:r>
      <w:r w:rsidRPr="008E17D0">
        <w:rPr>
          <w:rFonts w:ascii="Arial" w:hAnsi="Arial" w:cs="Arial"/>
          <w:sz w:val="28"/>
          <w:szCs w:val="28"/>
          <w:lang w:val="en-GB"/>
        </w:rPr>
        <w:lastRenderedPageBreak/>
        <w:t>appeal grounds and the Court deems it warranted. In all cases, if the Court orders a stay of execution, it may require a guarantee or other measures it finds necessary to prevent the appellant from absconding.</w:t>
      </w:r>
    </w:p>
    <w:p w14:paraId="360CF570" w14:textId="77777777" w:rsidR="0059227C" w:rsidRPr="008E17D0" w:rsidRDefault="0059227C" w:rsidP="008E17D0">
      <w:pPr>
        <w:spacing w:line="360" w:lineRule="auto"/>
        <w:jc w:val="both"/>
        <w:rPr>
          <w:rFonts w:ascii="Arial" w:hAnsi="Arial" w:cs="Arial"/>
          <w:sz w:val="28"/>
          <w:szCs w:val="28"/>
          <w:lang w:val="en-GB"/>
        </w:rPr>
      </w:pPr>
      <w:r w:rsidRPr="008E17D0">
        <w:rPr>
          <w:rFonts w:ascii="Arial" w:hAnsi="Arial" w:cs="Arial"/>
          <w:sz w:val="28"/>
          <w:szCs w:val="28"/>
          <w:lang w:val="en-GB"/>
        </w:rPr>
        <w:t>Article Two</w:t>
      </w:r>
    </w:p>
    <w:p w14:paraId="2A309332" w14:textId="77777777" w:rsidR="0059227C" w:rsidRPr="008E17D0" w:rsidRDefault="0059227C" w:rsidP="008E17D0">
      <w:pPr>
        <w:spacing w:line="360" w:lineRule="auto"/>
        <w:jc w:val="both"/>
        <w:rPr>
          <w:rFonts w:ascii="Arial" w:hAnsi="Arial" w:cs="Arial"/>
          <w:sz w:val="28"/>
          <w:szCs w:val="28"/>
          <w:lang w:val="en-GB"/>
        </w:rPr>
      </w:pPr>
      <w:r w:rsidRPr="008E17D0">
        <w:rPr>
          <w:rFonts w:ascii="Arial" w:hAnsi="Arial" w:cs="Arial"/>
          <w:sz w:val="28"/>
          <w:szCs w:val="28"/>
          <w:lang w:val="en-GB"/>
        </w:rPr>
        <w:t>A new Article No. (41) bis shall be added to the Court of Cassation Law promulgated by Legislative Decree No. (8) of 1989, with the following text:</w:t>
      </w:r>
    </w:p>
    <w:p w14:paraId="248B9FE9" w14:textId="77777777" w:rsidR="0059227C" w:rsidRPr="008E17D0" w:rsidRDefault="0059227C" w:rsidP="008E17D0">
      <w:pPr>
        <w:spacing w:line="360" w:lineRule="auto"/>
        <w:jc w:val="both"/>
        <w:rPr>
          <w:rFonts w:ascii="Arial" w:hAnsi="Arial" w:cs="Arial"/>
          <w:sz w:val="28"/>
          <w:szCs w:val="28"/>
          <w:lang w:val="en-GB"/>
        </w:rPr>
      </w:pPr>
      <w:r w:rsidRPr="008E17D0">
        <w:rPr>
          <w:rFonts w:ascii="Arial" w:hAnsi="Arial" w:cs="Arial"/>
          <w:sz w:val="28"/>
          <w:szCs w:val="28"/>
          <w:lang w:val="en-GB"/>
        </w:rPr>
        <w:t>Article (41) bis:</w:t>
      </w:r>
    </w:p>
    <w:p w14:paraId="1B8270B5" w14:textId="77777777" w:rsidR="0059227C" w:rsidRPr="008E17D0" w:rsidRDefault="0059227C" w:rsidP="008E17D0">
      <w:pPr>
        <w:spacing w:line="360" w:lineRule="auto"/>
        <w:jc w:val="both"/>
        <w:rPr>
          <w:rFonts w:ascii="Arial" w:hAnsi="Arial" w:cs="Arial"/>
          <w:sz w:val="28"/>
          <w:szCs w:val="28"/>
          <w:lang w:val="en-GB"/>
        </w:rPr>
      </w:pPr>
      <w:r w:rsidRPr="008E17D0">
        <w:rPr>
          <w:rFonts w:ascii="Arial" w:hAnsi="Arial" w:cs="Arial"/>
          <w:sz w:val="28"/>
          <w:szCs w:val="28"/>
          <w:lang w:val="en-GB"/>
        </w:rPr>
        <w:t>Without prejudice to Article (30) of this Law, the court clerk's department shall, after consolidating the case file of the judgment under appeal along with all associated documents, submit the file along with a memorandum of appeal grounds that includes a request for a stay of execution, within seven days from the date of submission of this memorandum to the President of the Court, who shall promptly set a hearing date within no more than thirty days from the date of submission and notify the Public Prosecution of the request for a stay of execution..</w:t>
      </w:r>
    </w:p>
    <w:p w14:paraId="762A9908" w14:textId="77777777" w:rsidR="0059227C" w:rsidRPr="008E17D0" w:rsidRDefault="0059227C" w:rsidP="008E17D0">
      <w:pPr>
        <w:spacing w:line="360" w:lineRule="auto"/>
        <w:jc w:val="both"/>
        <w:rPr>
          <w:rFonts w:ascii="Arial" w:hAnsi="Arial" w:cs="Arial"/>
          <w:sz w:val="28"/>
          <w:szCs w:val="28"/>
          <w:lang w:val="en-GB"/>
        </w:rPr>
      </w:pPr>
      <w:r w:rsidRPr="008E17D0">
        <w:rPr>
          <w:rFonts w:ascii="Arial" w:hAnsi="Arial" w:cs="Arial"/>
          <w:sz w:val="28"/>
          <w:szCs w:val="28"/>
          <w:lang w:val="en-GB"/>
        </w:rPr>
        <w:t>If the Court orders the stay of execution, it shall set a hearing date for the appeal within no more than three months from the date of the order.</w:t>
      </w:r>
    </w:p>
    <w:p w14:paraId="5B3DBA78" w14:textId="77777777" w:rsidR="0059227C" w:rsidRPr="008E17D0" w:rsidRDefault="0059227C" w:rsidP="008E17D0">
      <w:pPr>
        <w:spacing w:line="360" w:lineRule="auto"/>
        <w:jc w:val="both"/>
        <w:rPr>
          <w:rFonts w:ascii="Arial" w:hAnsi="Arial" w:cs="Arial"/>
          <w:sz w:val="28"/>
          <w:szCs w:val="28"/>
          <w:lang w:val="en-GB"/>
        </w:rPr>
      </w:pPr>
      <w:r w:rsidRPr="008E17D0">
        <w:rPr>
          <w:rFonts w:ascii="Arial" w:hAnsi="Arial" w:cs="Arial"/>
          <w:sz w:val="28"/>
          <w:szCs w:val="28"/>
          <w:lang w:val="en-GB"/>
        </w:rPr>
        <w:t>The court clerk's department shall notify the Public Prosecution, the appellant's attorney, and the other parties of this hearing at least three days prior to the scheduled date.</w:t>
      </w:r>
    </w:p>
    <w:p w14:paraId="6A278374" w14:textId="77777777" w:rsidR="0059227C" w:rsidRPr="008E17D0" w:rsidRDefault="0059227C" w:rsidP="00135822">
      <w:pPr>
        <w:keepNext/>
        <w:spacing w:line="360" w:lineRule="auto"/>
        <w:jc w:val="both"/>
        <w:rPr>
          <w:rFonts w:ascii="Arial" w:hAnsi="Arial" w:cs="Arial"/>
          <w:sz w:val="28"/>
          <w:szCs w:val="28"/>
          <w:lang w:val="en-GB"/>
        </w:rPr>
      </w:pPr>
      <w:r w:rsidRPr="008E17D0">
        <w:rPr>
          <w:rFonts w:ascii="Arial" w:hAnsi="Arial" w:cs="Arial"/>
          <w:sz w:val="28"/>
          <w:szCs w:val="28"/>
          <w:lang w:val="en-GB"/>
        </w:rPr>
        <w:lastRenderedPageBreak/>
        <w:t>Article Three</w:t>
      </w:r>
    </w:p>
    <w:p w14:paraId="08EAEEA2" w14:textId="77777777" w:rsidR="0059227C" w:rsidRPr="008E17D0" w:rsidRDefault="0059227C" w:rsidP="00135822">
      <w:pPr>
        <w:keepNext/>
        <w:spacing w:line="360" w:lineRule="auto"/>
        <w:jc w:val="both"/>
        <w:rPr>
          <w:rFonts w:ascii="Arial" w:hAnsi="Arial" w:cs="Arial"/>
          <w:sz w:val="28"/>
          <w:szCs w:val="28"/>
          <w:lang w:val="en-GB"/>
        </w:rPr>
      </w:pPr>
      <w:r w:rsidRPr="008E17D0">
        <w:rPr>
          <w:rFonts w:ascii="Arial" w:hAnsi="Arial" w:cs="Arial"/>
          <w:sz w:val="28"/>
          <w:szCs w:val="28"/>
          <w:lang w:val="en-GB"/>
        </w:rPr>
        <w:t>The Prime Minister and the Ministers—each within their jurisdiction—shall implement this Law, and it shall come into force from the day following the date of its publication in the Official Gazette.</w:t>
      </w:r>
    </w:p>
    <w:p w14:paraId="37D16923" w14:textId="77777777" w:rsidR="0059227C" w:rsidRPr="008E17D0" w:rsidRDefault="0059227C" w:rsidP="008E17D0">
      <w:pPr>
        <w:spacing w:line="360" w:lineRule="auto"/>
        <w:jc w:val="both"/>
        <w:rPr>
          <w:rFonts w:ascii="Arial" w:hAnsi="Arial" w:cs="Arial"/>
          <w:sz w:val="28"/>
          <w:szCs w:val="28"/>
          <w:lang w:val="en-GB"/>
        </w:rPr>
      </w:pPr>
    </w:p>
    <w:p w14:paraId="77BB249A" w14:textId="77777777" w:rsidR="0059227C" w:rsidRPr="008E17D0" w:rsidRDefault="0059227C" w:rsidP="008E17D0">
      <w:pPr>
        <w:spacing w:line="360" w:lineRule="auto"/>
        <w:jc w:val="both"/>
        <w:rPr>
          <w:rFonts w:ascii="Arial" w:hAnsi="Arial" w:cs="Arial"/>
          <w:sz w:val="28"/>
          <w:szCs w:val="28"/>
          <w:lang w:val="en-GB"/>
        </w:rPr>
      </w:pPr>
      <w:r w:rsidRPr="008E17D0">
        <w:rPr>
          <w:rFonts w:ascii="Arial" w:hAnsi="Arial" w:cs="Arial"/>
          <w:sz w:val="28"/>
          <w:szCs w:val="28"/>
          <w:lang w:val="en-GB"/>
        </w:rPr>
        <w:t>King of the Kingdom of Bahrain</w:t>
      </w:r>
    </w:p>
    <w:p w14:paraId="61780D52" w14:textId="77777777" w:rsidR="0059227C" w:rsidRPr="008E17D0" w:rsidRDefault="0059227C" w:rsidP="008E17D0">
      <w:pPr>
        <w:spacing w:line="360" w:lineRule="auto"/>
        <w:jc w:val="both"/>
        <w:rPr>
          <w:rFonts w:ascii="Arial" w:hAnsi="Arial" w:cs="Arial"/>
          <w:sz w:val="28"/>
          <w:szCs w:val="28"/>
          <w:lang w:val="en-GB"/>
        </w:rPr>
      </w:pPr>
      <w:r w:rsidRPr="008E17D0">
        <w:rPr>
          <w:rFonts w:ascii="Arial" w:hAnsi="Arial" w:cs="Arial"/>
          <w:sz w:val="28"/>
          <w:szCs w:val="28"/>
          <w:lang w:val="en-GB"/>
        </w:rPr>
        <w:t>Hamad bin Isa Al Khalifa</w:t>
      </w:r>
    </w:p>
    <w:p w14:paraId="55A3F9D9" w14:textId="77777777" w:rsidR="0059227C" w:rsidRPr="008E17D0" w:rsidRDefault="0059227C" w:rsidP="008E17D0">
      <w:pPr>
        <w:spacing w:line="360" w:lineRule="auto"/>
        <w:jc w:val="both"/>
        <w:rPr>
          <w:rFonts w:ascii="Arial" w:hAnsi="Arial" w:cs="Arial"/>
          <w:sz w:val="28"/>
          <w:szCs w:val="28"/>
          <w:lang w:val="en-GB"/>
        </w:rPr>
      </w:pPr>
      <w:r w:rsidRPr="008E17D0">
        <w:rPr>
          <w:rFonts w:ascii="Arial" w:hAnsi="Arial" w:cs="Arial"/>
          <w:sz w:val="28"/>
          <w:szCs w:val="28"/>
          <w:lang w:val="en-GB"/>
        </w:rPr>
        <w:t>Issued at Riffa Palace:</w:t>
      </w:r>
    </w:p>
    <w:p w14:paraId="0EB4EBBA" w14:textId="77777777" w:rsidR="0059227C" w:rsidRPr="008E17D0" w:rsidRDefault="0059227C" w:rsidP="008E17D0">
      <w:pPr>
        <w:spacing w:line="360" w:lineRule="auto"/>
        <w:jc w:val="both"/>
        <w:rPr>
          <w:rFonts w:ascii="Arial" w:hAnsi="Arial" w:cs="Arial"/>
          <w:sz w:val="28"/>
          <w:szCs w:val="28"/>
          <w:lang w:val="en-GB"/>
        </w:rPr>
      </w:pPr>
      <w:r w:rsidRPr="008E17D0">
        <w:rPr>
          <w:rFonts w:ascii="Arial" w:hAnsi="Arial" w:cs="Arial"/>
          <w:sz w:val="28"/>
          <w:szCs w:val="28"/>
          <w:lang w:val="en-GB"/>
        </w:rPr>
        <w:t>On:</w:t>
      </w:r>
    </w:p>
    <w:p w14:paraId="4DC3F5A4" w14:textId="77777777" w:rsidR="0059227C" w:rsidRPr="008E17D0" w:rsidRDefault="0059227C" w:rsidP="008E17D0">
      <w:pPr>
        <w:spacing w:line="360" w:lineRule="auto"/>
        <w:jc w:val="both"/>
        <w:rPr>
          <w:rFonts w:ascii="Arial" w:hAnsi="Arial" w:cs="Arial"/>
          <w:sz w:val="28"/>
          <w:szCs w:val="28"/>
          <w:lang w:val="en-GB"/>
        </w:rPr>
      </w:pPr>
      <w:r w:rsidRPr="008E17D0">
        <w:rPr>
          <w:rFonts w:ascii="Arial" w:hAnsi="Arial" w:cs="Arial"/>
          <w:sz w:val="28"/>
          <w:szCs w:val="28"/>
          <w:lang w:val="en-GB"/>
        </w:rPr>
        <w:t>27 Rabi' al-Akhir 1430 AH</w:t>
      </w:r>
    </w:p>
    <w:p w14:paraId="71B381D2" w14:textId="77777777" w:rsidR="0059227C" w:rsidRPr="008E17D0" w:rsidRDefault="0059227C" w:rsidP="008E17D0">
      <w:pPr>
        <w:spacing w:line="360" w:lineRule="auto"/>
        <w:jc w:val="both"/>
        <w:rPr>
          <w:rFonts w:ascii="Arial" w:hAnsi="Arial" w:cs="Arial"/>
          <w:sz w:val="28"/>
          <w:szCs w:val="28"/>
          <w:lang w:val="en-GB"/>
        </w:rPr>
      </w:pPr>
      <w:r w:rsidRPr="008E17D0">
        <w:rPr>
          <w:rFonts w:ascii="Arial" w:hAnsi="Arial" w:cs="Arial"/>
          <w:sz w:val="28"/>
          <w:szCs w:val="28"/>
          <w:lang w:val="en-GB"/>
        </w:rPr>
        <w:t>Corresponding to:</w:t>
      </w:r>
    </w:p>
    <w:p w14:paraId="0E884F0D" w14:textId="77777777" w:rsidR="0059227C" w:rsidRPr="008E17D0" w:rsidRDefault="0059227C" w:rsidP="008E17D0">
      <w:pPr>
        <w:spacing w:line="360" w:lineRule="auto"/>
        <w:jc w:val="both"/>
        <w:rPr>
          <w:rFonts w:ascii="Arial" w:hAnsi="Arial" w:cs="Arial"/>
          <w:sz w:val="28"/>
          <w:szCs w:val="28"/>
          <w:lang w:val="en-GB"/>
        </w:rPr>
      </w:pPr>
      <w:r w:rsidRPr="008E17D0">
        <w:rPr>
          <w:rFonts w:ascii="Arial" w:hAnsi="Arial" w:cs="Arial"/>
          <w:sz w:val="28"/>
          <w:szCs w:val="28"/>
          <w:lang w:val="en-GB"/>
        </w:rPr>
        <w:t>23 April 2009</w:t>
      </w:r>
    </w:p>
    <w:p w14:paraId="73E4DC4E" w14:textId="77777777" w:rsidR="000505FD" w:rsidRPr="008E17D0" w:rsidRDefault="000505FD" w:rsidP="008E17D0">
      <w:pPr>
        <w:spacing w:line="360" w:lineRule="auto"/>
        <w:rPr>
          <w:rFonts w:ascii="Arial" w:hAnsi="Arial" w:cs="Arial"/>
          <w:sz w:val="28"/>
          <w:szCs w:val="28"/>
        </w:rPr>
      </w:pPr>
    </w:p>
    <w:sectPr w:rsidR="000505FD" w:rsidRPr="008E17D0" w:rsidSect="008E17D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13940" w14:textId="77777777" w:rsidR="00BD672B" w:rsidRDefault="00BD672B" w:rsidP="00D80642">
      <w:pPr>
        <w:spacing w:after="0" w:line="240" w:lineRule="auto"/>
      </w:pPr>
      <w:r>
        <w:separator/>
      </w:r>
    </w:p>
  </w:endnote>
  <w:endnote w:type="continuationSeparator" w:id="0">
    <w:p w14:paraId="0128CEBA" w14:textId="77777777" w:rsidR="00BD672B" w:rsidRDefault="00BD672B" w:rsidP="00D80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5F771" w14:textId="77777777" w:rsidR="00D80642" w:rsidRDefault="00D80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35438" w14:textId="77777777" w:rsidR="00D80642" w:rsidRDefault="00D806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35FC1" w14:textId="77777777" w:rsidR="00D80642" w:rsidRDefault="00D80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E799E" w14:textId="77777777" w:rsidR="00BD672B" w:rsidRDefault="00BD672B" w:rsidP="00D80642">
      <w:pPr>
        <w:spacing w:after="0" w:line="240" w:lineRule="auto"/>
      </w:pPr>
      <w:r>
        <w:separator/>
      </w:r>
    </w:p>
  </w:footnote>
  <w:footnote w:type="continuationSeparator" w:id="0">
    <w:p w14:paraId="61467B0D" w14:textId="77777777" w:rsidR="00BD672B" w:rsidRDefault="00BD672B" w:rsidP="00D80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0B7D0" w14:textId="77777777" w:rsidR="00D80642" w:rsidRDefault="00D806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30167" w14:textId="4E684D48" w:rsidR="00D80642" w:rsidRDefault="00D806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4ABC0" w14:textId="77777777" w:rsidR="00D80642" w:rsidRDefault="00D806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A0B"/>
    <w:rsid w:val="000505FD"/>
    <w:rsid w:val="00134F48"/>
    <w:rsid w:val="00135822"/>
    <w:rsid w:val="00427567"/>
    <w:rsid w:val="0043297E"/>
    <w:rsid w:val="004B3503"/>
    <w:rsid w:val="0059227C"/>
    <w:rsid w:val="00622DC5"/>
    <w:rsid w:val="00680262"/>
    <w:rsid w:val="006D168A"/>
    <w:rsid w:val="00736BE2"/>
    <w:rsid w:val="00850A3B"/>
    <w:rsid w:val="008B6EE6"/>
    <w:rsid w:val="008E17D0"/>
    <w:rsid w:val="009C41B7"/>
    <w:rsid w:val="00AB4E78"/>
    <w:rsid w:val="00AE3327"/>
    <w:rsid w:val="00BD2C2C"/>
    <w:rsid w:val="00BD672B"/>
    <w:rsid w:val="00C55A0B"/>
    <w:rsid w:val="00CB5DD1"/>
    <w:rsid w:val="00D80642"/>
    <w:rsid w:val="00F12F1B"/>
    <w:rsid w:val="00FF28C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97670"/>
  <w15:docId w15:val="{6527F9ED-D3D2-4CB8-A1B3-D6A7AFEE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D80642"/>
    <w:pPr>
      <w:spacing w:after="0" w:line="240" w:lineRule="auto"/>
    </w:pPr>
  </w:style>
  <w:style w:type="paragraph" w:styleId="Header">
    <w:name w:val="header"/>
    <w:basedOn w:val="Normal"/>
    <w:link w:val="HeaderChar"/>
    <w:uiPriority w:val="99"/>
    <w:unhideWhenUsed/>
    <w:rsid w:val="00D806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642"/>
  </w:style>
  <w:style w:type="paragraph" w:styleId="Footer">
    <w:name w:val="footer"/>
    <w:basedOn w:val="Normal"/>
    <w:link w:val="FooterChar"/>
    <w:uiPriority w:val="99"/>
    <w:unhideWhenUsed/>
    <w:rsid w:val="00D806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642"/>
  </w:style>
  <w:style w:type="character" w:styleId="CommentReference">
    <w:name w:val="annotation reference"/>
    <w:basedOn w:val="DefaultParagraphFont"/>
    <w:uiPriority w:val="99"/>
    <w:semiHidden/>
    <w:unhideWhenUsed/>
    <w:rsid w:val="00622DC5"/>
    <w:rPr>
      <w:sz w:val="16"/>
      <w:szCs w:val="16"/>
    </w:rPr>
  </w:style>
  <w:style w:type="paragraph" w:styleId="CommentText">
    <w:name w:val="annotation text"/>
    <w:basedOn w:val="Normal"/>
    <w:link w:val="CommentTextChar"/>
    <w:uiPriority w:val="99"/>
    <w:semiHidden/>
    <w:unhideWhenUsed/>
    <w:rsid w:val="00622DC5"/>
    <w:pPr>
      <w:spacing w:line="240" w:lineRule="auto"/>
    </w:pPr>
    <w:rPr>
      <w:sz w:val="20"/>
      <w:szCs w:val="20"/>
    </w:rPr>
  </w:style>
  <w:style w:type="character" w:customStyle="1" w:styleId="CommentTextChar">
    <w:name w:val="Comment Text Char"/>
    <w:basedOn w:val="DefaultParagraphFont"/>
    <w:link w:val="CommentText"/>
    <w:uiPriority w:val="99"/>
    <w:semiHidden/>
    <w:rsid w:val="00622DC5"/>
    <w:rPr>
      <w:sz w:val="20"/>
      <w:szCs w:val="20"/>
    </w:rPr>
  </w:style>
  <w:style w:type="paragraph" w:styleId="CommentSubject">
    <w:name w:val="annotation subject"/>
    <w:basedOn w:val="CommentText"/>
    <w:next w:val="CommentText"/>
    <w:link w:val="CommentSubjectChar"/>
    <w:uiPriority w:val="99"/>
    <w:semiHidden/>
    <w:unhideWhenUsed/>
    <w:rsid w:val="00622DC5"/>
    <w:rPr>
      <w:b/>
      <w:bCs/>
    </w:rPr>
  </w:style>
  <w:style w:type="character" w:customStyle="1" w:styleId="CommentSubjectChar">
    <w:name w:val="Comment Subject Char"/>
    <w:basedOn w:val="CommentTextChar"/>
    <w:link w:val="CommentSubject"/>
    <w:uiPriority w:val="99"/>
    <w:semiHidden/>
    <w:rsid w:val="00622DC5"/>
    <w:rPr>
      <w:b/>
      <w:bCs/>
      <w:sz w:val="20"/>
      <w:szCs w:val="20"/>
    </w:rPr>
  </w:style>
  <w:style w:type="paragraph" w:styleId="BalloonText">
    <w:name w:val="Balloon Text"/>
    <w:basedOn w:val="Normal"/>
    <w:link w:val="BalloonTextChar"/>
    <w:uiPriority w:val="99"/>
    <w:semiHidden/>
    <w:unhideWhenUsed/>
    <w:rsid w:val="00622D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DC5"/>
    <w:rPr>
      <w:rFonts w:ascii="Segoe UI" w:hAnsi="Segoe UI" w:cs="Segoe UI"/>
      <w:sz w:val="18"/>
      <w:szCs w:val="18"/>
    </w:rPr>
  </w:style>
  <w:style w:type="character" w:styleId="Strong">
    <w:name w:val="Strong"/>
    <w:basedOn w:val="DefaultParagraphFont"/>
    <w:uiPriority w:val="22"/>
    <w:qFormat/>
    <w:rsid w:val="00850A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97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ea3408fe-4f55-4b7c-8bdf-d013406e9cac_1" sourcehash="1485387076" targethash="2143362759"/>
  <segment id="fabcd771-ca84-46c2-b635-a6e335c0c075_2" sourcehash="891971302" targethash="891971302"/>
  <segment id="8d73638a-5b60-4484-89e5-77bf556ad91c_3" sourcehash="891971301" targethash="891971301"/>
  <segment id="b241db12-bdc6-4a3f-9b7c-c6aecb29195d_4" sourcehash="-506983676" targethash="2066738783"/>
  <segment id="74bd5f18-8bc3-47c7-9a5f-28531dc86ccd_5" sourcehash="951798967" targethash="-2017669963"/>
  <segment id="a592d29a-5f00-4c73-86af-dc9c675ab4b2_6" sourcehash="-1146124502" targethash="-1821979679"/>
  <segment id="f4ae2cee-3a77-4220-8522-b75e6ab5bf41_7" sourcehash="-906470474" targethash="554641749"/>
  <segment id="2f466573-1d42-4058-939c-ff692fc2ac70_8" sourcehash="1719933141" targethash="1272131535"/>
  <segment id="90ffd9a2-89b8-449f-8c02-2a8151cf3188_9" sourcehash="-2102852028" targethash="1633782625"/>
  <segment id="252b5e99-1b47-406b-b793-3792193bfed5_10" sourcehash="1340354424" targethash="366650432"/>
  <segment id="129a541f-15ff-47e7-ad78-31479ff75b92_11" sourcehash="-171152986" targethash="-74211586"/>
  <segment id="9efd77f0-efa5-4b02-a2ec-69002e6fd1cf_12" sourcehash="-331281526" targethash="477303013"/>
  <segment id="398c0228-1e17-4592-9b96-1c101836ca45_13" sourcehash="815623958" targethash="-1589320023"/>
  <segment id="da860200-6b4c-47e6-9101-fc25ee45d977_14" sourcehash="-1839769054" targethash="-975815798"/>
  <segment id="191be061-d033-4348-91b8-1c50d86ff685_15" sourcehash="-1129189" targethash="-1743533852"/>
  <segment id="d4cc3486-4c7c-4499-841a-589734f706cb_16" sourcehash="377464448" targethash="596231592"/>
  <segment id="88ea3812-b60a-45a5-b143-453cd61f8074_17" sourcehash="145394831" targethash="1313794584"/>
  <segment id="02a3db20-35b5-4a2e-a4d7-ade6eb54bdfe_18" sourcehash="1150846034" targethash="-1976758119"/>
  <segment id="5022b4be-c590-4402-9aff-a3de9bfa7ac6_19" sourcehash="495475760" targethash="-499585341"/>
  <segment id="5022b4be-c590-4402-9aff-a3de9bfa7ac6_20" sourcehash="1985783600" targethash="-1962569852"/>
  <segment id="8718e1d7-be57-4e7d-b9d8-4b98a83a8460_21" sourcehash="-157751425" targethash="-705544178"/>
  <segment id="238529f7-6229-4c67-b869-b072ae9a2680_22" sourcehash="1990653879" targethash="-1091501338"/>
  <segment id="9a6ee9d3-d1d2-432f-95bf-db3dda4648b1_23" sourcehash="-1214324904" targethash="-728254530"/>
  <segment id="4b88cd76-dc7b-4db8-9d27-fbf1f590c13c_24" sourcehash="509515157" targethash="-586035483"/>
  <segment id="bf59ef69-8dbb-4371-8809-20b56d93afde_25" sourcehash="2106257276" targethash="-376543360"/>
  <segment id="59f2e948-8e85-4ada-be01-7c3cd7a0fdb1_26" sourcehash="-852839437" targethash="1717664769"/>
  <segment id="59f2e948-8e85-4ada-be01-7c3cd7a0fdb1_27" sourcehash="-1329484478" targethash="579273075"/>
  <segment id="59064b4a-f942-49df-b47e-5c6693f40fac_28" sourcehash="-434192089" targethash="-1302055390"/>
  <segment id="59064b4a-f942-49df-b47e-5c6693f40fac_29" sourcehash="-1498816331" targethash="91150714"/>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7</cp:revision>
  <dcterms:created xsi:type="dcterms:W3CDTF">2024-11-05T13:12:00Z</dcterms:created>
  <dcterms:modified xsi:type="dcterms:W3CDTF">2025-05-08T05:22:00Z</dcterms:modified>
</cp:coreProperties>
</file>